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4D68" w14:textId="77777777" w:rsidR="00273088" w:rsidRDefault="00273088"/>
    <w:p w14:paraId="24D35646" w14:textId="77777777" w:rsidR="00632DF0" w:rsidRPr="0076618F" w:rsidRDefault="00632DF0" w:rsidP="00632DF0">
      <w:pPr>
        <w:rPr>
          <w:rFonts w:cs="Arial"/>
        </w:rPr>
      </w:pPr>
    </w:p>
    <w:p w14:paraId="5AA1895B" w14:textId="77777777" w:rsidR="00632DF0" w:rsidRPr="0076618F" w:rsidRDefault="00632DF0" w:rsidP="00632DF0">
      <w:pPr>
        <w:rPr>
          <w:rFonts w:cs="Arial"/>
        </w:rPr>
      </w:pPr>
    </w:p>
    <w:p w14:paraId="021F3E4E" w14:textId="77777777" w:rsidR="00632DF0" w:rsidRPr="0076618F" w:rsidRDefault="00632DF0" w:rsidP="00632DF0">
      <w:pPr>
        <w:rPr>
          <w:rFonts w:cs="Arial"/>
        </w:rPr>
      </w:pPr>
    </w:p>
    <w:p w14:paraId="03A5EC70" w14:textId="77777777" w:rsidR="00632DF0" w:rsidRPr="0076618F" w:rsidRDefault="00632DF0" w:rsidP="00632DF0">
      <w:pPr>
        <w:rPr>
          <w:rFonts w:cs="Arial"/>
        </w:rPr>
      </w:pPr>
    </w:p>
    <w:p w14:paraId="0F6C3DB7" w14:textId="77777777" w:rsidR="00632DF0" w:rsidRPr="0076618F" w:rsidRDefault="00632DF0" w:rsidP="00632DF0">
      <w:pPr>
        <w:rPr>
          <w:rFonts w:cs="Arial"/>
        </w:rPr>
      </w:pPr>
    </w:p>
    <w:p w14:paraId="4688425A" w14:textId="77777777" w:rsidR="00632DF0" w:rsidRPr="0076618F" w:rsidRDefault="00632DF0" w:rsidP="00632DF0">
      <w:pPr>
        <w:rPr>
          <w:rFonts w:cs="Arial"/>
        </w:rPr>
      </w:pPr>
    </w:p>
    <w:tbl>
      <w:tblPr>
        <w:tblW w:w="9242" w:type="dxa"/>
        <w:tblInd w:w="45" w:type="dxa"/>
        <w:tblBorders>
          <w:top w:val="thinThickSmallGap" w:sz="24" w:space="0" w:color="867537"/>
          <w:left w:val="thinThickSmallGap" w:sz="24" w:space="0" w:color="867537"/>
          <w:bottom w:val="thickThinSmallGap" w:sz="24" w:space="0" w:color="867537"/>
          <w:right w:val="thickThinSmallGap" w:sz="24" w:space="0" w:color="867537"/>
          <w:insideH w:val="single" w:sz="6" w:space="0" w:color="867537"/>
          <w:insideV w:val="single" w:sz="6" w:space="0" w:color="867537"/>
        </w:tblBorders>
        <w:tblLook w:val="04A0" w:firstRow="1" w:lastRow="0" w:firstColumn="1" w:lastColumn="0" w:noHBand="0" w:noVBand="1"/>
      </w:tblPr>
      <w:tblGrid>
        <w:gridCol w:w="9242"/>
      </w:tblGrid>
      <w:tr w:rsidR="00632DF0" w:rsidRPr="00C7192C" w14:paraId="7B810D4B" w14:textId="77777777" w:rsidTr="000C568A">
        <w:tc>
          <w:tcPr>
            <w:tcW w:w="9242" w:type="dxa"/>
            <w:shd w:val="clear" w:color="auto" w:fill="auto"/>
          </w:tcPr>
          <w:p w14:paraId="74666014" w14:textId="77777777" w:rsidR="00632DF0" w:rsidRPr="006921F9" w:rsidRDefault="00632DF0" w:rsidP="006921F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4FB17790" w14:textId="06C53B02" w:rsidR="006921F9" w:rsidRDefault="00632DF0" w:rsidP="006921F9">
            <w:pPr>
              <w:pStyle w:val="Heading1"/>
              <w:spacing w:before="0"/>
              <w:jc w:val="center"/>
              <w:rPr>
                <w:rFonts w:cs="Arial"/>
                <w:b/>
                <w:bCs/>
                <w:color w:val="auto"/>
                <w:sz w:val="48"/>
                <w:szCs w:val="40"/>
              </w:rPr>
            </w:pPr>
            <w:r w:rsidRPr="006921F9">
              <w:rPr>
                <w:rFonts w:cs="Arial"/>
                <w:b/>
                <w:bCs/>
                <w:color w:val="auto"/>
                <w:sz w:val="48"/>
                <w:szCs w:val="40"/>
              </w:rPr>
              <w:t xml:space="preserve">QUALITY ENHANCEMENT VISIT </w:t>
            </w:r>
            <w:r w:rsidR="006921F9">
              <w:rPr>
                <w:rFonts w:cs="Arial"/>
                <w:b/>
                <w:bCs/>
                <w:color w:val="auto"/>
                <w:sz w:val="48"/>
                <w:szCs w:val="40"/>
              </w:rPr>
              <w:t>(QEV)</w:t>
            </w:r>
          </w:p>
          <w:p w14:paraId="4F0711C3" w14:textId="77777777" w:rsidR="006921F9" w:rsidRPr="006921F9" w:rsidRDefault="006921F9" w:rsidP="006921F9">
            <w:pPr>
              <w:rPr>
                <w:sz w:val="48"/>
                <w:szCs w:val="48"/>
              </w:rPr>
            </w:pPr>
          </w:p>
          <w:p w14:paraId="1680DEA6" w14:textId="2543304F" w:rsidR="00632DF0" w:rsidRPr="006921F9" w:rsidRDefault="006921F9" w:rsidP="006921F9">
            <w:pPr>
              <w:pStyle w:val="Heading1"/>
              <w:spacing w:before="0"/>
              <w:jc w:val="center"/>
              <w:rPr>
                <w:rFonts w:cs="Arial"/>
                <w:b/>
                <w:bCs/>
                <w:color w:val="auto"/>
                <w:sz w:val="48"/>
                <w:szCs w:val="48"/>
              </w:rPr>
            </w:pPr>
            <w:r w:rsidRPr="006921F9">
              <w:rPr>
                <w:rFonts w:cs="Arial"/>
                <w:b/>
                <w:bCs/>
                <w:color w:val="auto"/>
                <w:sz w:val="48"/>
                <w:szCs w:val="48"/>
              </w:rPr>
              <w:t>SUPPORTING GUIDANCE</w:t>
            </w:r>
          </w:p>
          <w:p w14:paraId="68EA31B0" w14:textId="77777777" w:rsidR="00632DF0" w:rsidRPr="006921F9" w:rsidRDefault="00632DF0" w:rsidP="006921F9">
            <w:pPr>
              <w:pStyle w:val="Heading1"/>
              <w:spacing w:before="0"/>
              <w:jc w:val="center"/>
              <w:rPr>
                <w:rFonts w:cs="Arial"/>
                <w:color w:val="auto"/>
                <w:sz w:val="48"/>
                <w:szCs w:val="48"/>
              </w:rPr>
            </w:pPr>
          </w:p>
        </w:tc>
      </w:tr>
    </w:tbl>
    <w:p w14:paraId="20E7E6B7" w14:textId="77777777" w:rsidR="00632DF0" w:rsidRPr="0076618F" w:rsidRDefault="00632DF0" w:rsidP="00632DF0">
      <w:pPr>
        <w:rPr>
          <w:rFonts w:cs="Arial"/>
        </w:rPr>
      </w:pPr>
    </w:p>
    <w:p w14:paraId="7B8AC6AE" w14:textId="77777777" w:rsidR="00632DF0" w:rsidRPr="0076618F" w:rsidRDefault="00632DF0" w:rsidP="00632DF0">
      <w:pPr>
        <w:rPr>
          <w:rFonts w:cs="Arial"/>
        </w:rPr>
      </w:pPr>
    </w:p>
    <w:p w14:paraId="15F4F700" w14:textId="77777777" w:rsidR="00632DF0" w:rsidRPr="0076618F" w:rsidRDefault="00632DF0" w:rsidP="00632DF0">
      <w:pPr>
        <w:rPr>
          <w:rFonts w:cs="Arial"/>
        </w:rPr>
      </w:pPr>
    </w:p>
    <w:p w14:paraId="71B48327" w14:textId="77777777" w:rsidR="00632DF0" w:rsidRPr="0076618F" w:rsidRDefault="00632DF0" w:rsidP="00632DF0">
      <w:pPr>
        <w:rPr>
          <w:rFonts w:cs="Arial"/>
        </w:rPr>
      </w:pPr>
    </w:p>
    <w:p w14:paraId="35186C4D" w14:textId="77777777" w:rsidR="00632DF0" w:rsidRPr="0076618F" w:rsidRDefault="00632DF0" w:rsidP="00632DF0">
      <w:pPr>
        <w:rPr>
          <w:rFonts w:cs="Arial"/>
        </w:rPr>
      </w:pPr>
    </w:p>
    <w:p w14:paraId="04FF86A4" w14:textId="77777777" w:rsidR="00632DF0" w:rsidRPr="0076618F" w:rsidRDefault="00632DF0" w:rsidP="00632DF0">
      <w:pPr>
        <w:rPr>
          <w:rFonts w:cs="Arial"/>
        </w:rPr>
      </w:pPr>
    </w:p>
    <w:p w14:paraId="59DCEBB0" w14:textId="77777777" w:rsidR="00632DF0" w:rsidRPr="0076618F" w:rsidRDefault="00632DF0" w:rsidP="00632DF0">
      <w:pPr>
        <w:rPr>
          <w:rFonts w:cs="Arial"/>
        </w:rPr>
      </w:pPr>
    </w:p>
    <w:p w14:paraId="0B4A9BED" w14:textId="77777777" w:rsidR="00632DF0" w:rsidRPr="0076618F" w:rsidRDefault="00632DF0" w:rsidP="00632DF0">
      <w:pPr>
        <w:rPr>
          <w:rFonts w:cs="Arial"/>
        </w:rPr>
      </w:pPr>
    </w:p>
    <w:p w14:paraId="484C9688" w14:textId="77777777" w:rsidR="00632DF0" w:rsidRPr="0076618F" w:rsidRDefault="00632DF0" w:rsidP="00632DF0">
      <w:pPr>
        <w:rPr>
          <w:rFonts w:cs="Arial"/>
        </w:rPr>
      </w:pPr>
    </w:p>
    <w:p w14:paraId="3D37CB87" w14:textId="77777777" w:rsidR="00632DF0" w:rsidRPr="0076618F" w:rsidRDefault="00632DF0" w:rsidP="00632DF0">
      <w:pPr>
        <w:rPr>
          <w:rFonts w:cs="Arial"/>
        </w:rPr>
      </w:pPr>
    </w:p>
    <w:p w14:paraId="2087D801" w14:textId="77777777" w:rsidR="00632DF0" w:rsidRPr="0076618F" w:rsidRDefault="00632DF0" w:rsidP="00632DF0">
      <w:pPr>
        <w:rPr>
          <w:rFonts w:cs="Arial"/>
        </w:rPr>
      </w:pPr>
    </w:p>
    <w:p w14:paraId="16766FAA" w14:textId="77777777" w:rsidR="00632DF0" w:rsidRPr="0076618F" w:rsidRDefault="00632DF0" w:rsidP="00632DF0">
      <w:pPr>
        <w:rPr>
          <w:rFonts w:cs="Arial"/>
        </w:rPr>
      </w:pPr>
    </w:p>
    <w:p w14:paraId="58A6834E" w14:textId="77777777" w:rsidR="00632DF0" w:rsidRPr="0076618F" w:rsidRDefault="00632DF0" w:rsidP="00632DF0">
      <w:pPr>
        <w:rPr>
          <w:rFonts w:cs="Arial"/>
        </w:rPr>
      </w:pPr>
    </w:p>
    <w:p w14:paraId="07082A2C" w14:textId="77777777" w:rsidR="00632DF0" w:rsidRPr="0076618F" w:rsidRDefault="00632DF0" w:rsidP="00632DF0">
      <w:pPr>
        <w:rPr>
          <w:rFonts w:cs="Arial"/>
        </w:rPr>
      </w:pPr>
    </w:p>
    <w:p w14:paraId="5F467D80" w14:textId="77777777" w:rsidR="00632DF0" w:rsidRDefault="00632DF0" w:rsidP="00632DF0">
      <w:pPr>
        <w:rPr>
          <w:rFonts w:cs="Arial"/>
        </w:rPr>
      </w:pPr>
    </w:p>
    <w:p w14:paraId="0F704207" w14:textId="77777777" w:rsidR="00733034" w:rsidRDefault="00733034" w:rsidP="00632DF0">
      <w:pPr>
        <w:rPr>
          <w:rFonts w:cs="Arial"/>
        </w:rPr>
      </w:pPr>
    </w:p>
    <w:p w14:paraId="38C313F8" w14:textId="77777777" w:rsidR="00733034" w:rsidRDefault="00733034" w:rsidP="00632DF0">
      <w:pPr>
        <w:rPr>
          <w:rFonts w:cs="Arial"/>
        </w:rPr>
      </w:pPr>
    </w:p>
    <w:p w14:paraId="2C8E5E08" w14:textId="77777777" w:rsidR="00733034" w:rsidRDefault="00733034" w:rsidP="00632DF0">
      <w:pPr>
        <w:rPr>
          <w:rFonts w:cs="Arial"/>
        </w:rPr>
      </w:pPr>
    </w:p>
    <w:p w14:paraId="2E7AC955" w14:textId="77777777" w:rsidR="00733034" w:rsidRPr="0076618F" w:rsidRDefault="00733034" w:rsidP="00632DF0">
      <w:pPr>
        <w:rPr>
          <w:rFonts w:cs="Arial"/>
        </w:rPr>
      </w:pPr>
    </w:p>
    <w:p w14:paraId="1D565178" w14:textId="77777777" w:rsidR="00632DF0" w:rsidRDefault="00632DF0" w:rsidP="00632DF0">
      <w:pPr>
        <w:rPr>
          <w:rFonts w:cs="Arial"/>
        </w:rPr>
      </w:pPr>
    </w:p>
    <w:p w14:paraId="138018B3" w14:textId="77777777" w:rsidR="00632DF0" w:rsidRPr="0076618F" w:rsidRDefault="00632DF0" w:rsidP="00632DF0">
      <w:pPr>
        <w:rPr>
          <w:rFonts w:cs="Arial"/>
        </w:rPr>
      </w:pPr>
    </w:p>
    <w:p w14:paraId="34405608" w14:textId="77777777" w:rsidR="00632DF0" w:rsidRPr="0076618F" w:rsidRDefault="00632DF0" w:rsidP="00632DF0">
      <w:pPr>
        <w:rPr>
          <w:rFonts w:cs="Arial"/>
        </w:rPr>
      </w:pPr>
    </w:p>
    <w:tbl>
      <w:tblPr>
        <w:tblW w:w="63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</w:tblGrid>
      <w:tr w:rsidR="00632DF0" w:rsidRPr="00C532E5" w14:paraId="742347C4" w14:textId="77777777" w:rsidTr="000C568A">
        <w:trPr>
          <w:trHeight w:val="2025"/>
        </w:trPr>
        <w:tc>
          <w:tcPr>
            <w:tcW w:w="6390" w:type="dxa"/>
            <w:shd w:val="clear" w:color="auto" w:fill="auto"/>
          </w:tcPr>
          <w:p w14:paraId="233143EE" w14:textId="77777777" w:rsidR="00632DF0" w:rsidRPr="00D74C3C" w:rsidRDefault="00632DF0" w:rsidP="000C568A">
            <w:pPr>
              <w:pStyle w:val="BodyText2"/>
              <w:jc w:val="left"/>
              <w:rPr>
                <w:rFonts w:ascii="Arial" w:hAnsi="Arial" w:cs="Arial"/>
                <w:b/>
                <w:bCs/>
                <w:lang w:val="en-GB"/>
              </w:rPr>
            </w:pPr>
          </w:p>
          <w:p w14:paraId="3407BED4" w14:textId="77777777" w:rsidR="00632DF0" w:rsidRPr="00D74C3C" w:rsidRDefault="00632DF0" w:rsidP="000C568A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 w:rsidRPr="00D74C3C">
              <w:rPr>
                <w:rFonts w:ascii="Arial" w:hAnsi="Arial" w:cs="Arial"/>
                <w:b/>
                <w:bCs/>
                <w:lang w:val="en-GB"/>
              </w:rPr>
              <w:t xml:space="preserve">Document </w:t>
            </w:r>
            <w:r w:rsidRPr="00D74C3C">
              <w:rPr>
                <w:rFonts w:ascii="Arial" w:hAnsi="Arial" w:cs="Arial"/>
                <w:b/>
                <w:bCs/>
              </w:rPr>
              <w:t>Owner:</w:t>
            </w:r>
            <w:r w:rsidRPr="00D74C3C">
              <w:rPr>
                <w:rFonts w:ascii="Arial" w:hAnsi="Arial" w:cs="Arial"/>
                <w:b/>
                <w:bCs/>
              </w:rPr>
              <w:tab/>
            </w:r>
            <w:r w:rsidRPr="00D74C3C">
              <w:rPr>
                <w:rFonts w:ascii="Arial" w:hAnsi="Arial" w:cs="Arial"/>
                <w:lang w:val="en-GB"/>
              </w:rPr>
              <w:t xml:space="preserve">Student Learning &amp; </w:t>
            </w:r>
            <w:r w:rsidRPr="00D74C3C">
              <w:rPr>
                <w:rFonts w:ascii="Arial" w:hAnsi="Arial" w:cs="Arial"/>
                <w:bCs/>
                <w:lang w:val="en-GB"/>
              </w:rPr>
              <w:t>Academic Registry</w:t>
            </w:r>
            <w:r w:rsidRPr="00D74C3C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28309BCA" w14:textId="5C223A7C" w:rsidR="00632DF0" w:rsidRPr="00D74C3C" w:rsidRDefault="00632DF0" w:rsidP="000C568A">
            <w:pPr>
              <w:pStyle w:val="BodyText2"/>
              <w:jc w:val="left"/>
              <w:rPr>
                <w:rFonts w:ascii="Arial" w:hAnsi="Arial" w:cs="Arial"/>
                <w:b/>
                <w:bCs/>
              </w:rPr>
            </w:pPr>
            <w:r w:rsidRPr="00D74C3C">
              <w:rPr>
                <w:rFonts w:ascii="Arial" w:hAnsi="Arial" w:cs="Arial"/>
                <w:b/>
                <w:bCs/>
              </w:rPr>
              <w:t>Version number:</w:t>
            </w:r>
            <w:r w:rsidRPr="00D74C3C">
              <w:rPr>
                <w:rFonts w:ascii="Arial" w:hAnsi="Arial" w:cs="Arial"/>
                <w:b/>
                <w:bCs/>
              </w:rPr>
              <w:tab/>
            </w:r>
            <w:r w:rsidR="00017BBC">
              <w:rPr>
                <w:rFonts w:ascii="Arial" w:hAnsi="Arial" w:cs="Arial"/>
                <w:b/>
                <w:bCs/>
                <w:lang w:val="en-GB"/>
              </w:rPr>
              <w:t>1</w:t>
            </w:r>
            <w:r w:rsidRPr="00D74C3C">
              <w:rPr>
                <w:rFonts w:ascii="Arial" w:hAnsi="Arial" w:cs="Arial"/>
                <w:b/>
                <w:bCs/>
                <w:lang w:val="en-GB"/>
              </w:rPr>
              <w:t>.</w:t>
            </w:r>
            <w:r w:rsidR="00017BBC">
              <w:rPr>
                <w:rFonts w:ascii="Arial" w:hAnsi="Arial" w:cs="Arial"/>
                <w:b/>
                <w:bCs/>
                <w:lang w:val="en-GB"/>
              </w:rPr>
              <w:t>0</w:t>
            </w:r>
          </w:p>
          <w:p w14:paraId="6BD566E0" w14:textId="77777777" w:rsidR="00632DF0" w:rsidRPr="00D74C3C" w:rsidRDefault="00632DF0" w:rsidP="000C56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D74C3C">
              <w:rPr>
                <w:rFonts w:cs="Arial"/>
                <w:b/>
                <w:bCs/>
                <w:sz w:val="20"/>
                <w:szCs w:val="20"/>
                <w:lang w:val="en-US"/>
              </w:rPr>
              <w:t>Effective date:</w:t>
            </w:r>
            <w:r w:rsidRPr="00D74C3C">
              <w:rPr>
                <w:rFonts w:cs="Arial"/>
                <w:sz w:val="20"/>
                <w:szCs w:val="20"/>
                <w:lang w:val="en-US"/>
              </w:rPr>
              <w:tab/>
            </w:r>
            <w:r w:rsidRPr="00D74C3C">
              <w:rPr>
                <w:rFonts w:cs="Arial"/>
                <w:sz w:val="20"/>
                <w:szCs w:val="20"/>
                <w:lang w:val="en-US"/>
              </w:rPr>
              <w:tab/>
              <w:t xml:space="preserve">September 2024 (Academic Year </w:t>
            </w:r>
            <w:r>
              <w:rPr>
                <w:rFonts w:cs="Arial"/>
                <w:sz w:val="20"/>
                <w:szCs w:val="20"/>
                <w:lang w:val="en-US"/>
              </w:rPr>
              <w:t>20</w:t>
            </w:r>
            <w:r w:rsidRPr="00D74C3C">
              <w:rPr>
                <w:rFonts w:cs="Arial"/>
                <w:sz w:val="20"/>
                <w:szCs w:val="20"/>
                <w:lang w:val="en-US"/>
              </w:rPr>
              <w:t>24</w:t>
            </w:r>
            <w:r>
              <w:rPr>
                <w:rFonts w:cs="Arial"/>
                <w:sz w:val="20"/>
                <w:szCs w:val="20"/>
                <w:lang w:val="en-US"/>
              </w:rPr>
              <w:t>-25</w:t>
            </w:r>
            <w:r w:rsidRPr="00D74C3C"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74D89F0D" w14:textId="77777777" w:rsidR="00632DF0" w:rsidRPr="00D74C3C" w:rsidRDefault="00632DF0" w:rsidP="000C56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D74C3C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Date of next review:  </w:t>
            </w:r>
            <w:r w:rsidRPr="00D74C3C">
              <w:rPr>
                <w:rFonts w:cs="Arial"/>
                <w:b/>
                <w:bCs/>
                <w:sz w:val="20"/>
                <w:szCs w:val="20"/>
                <w:lang w:val="en-US"/>
              </w:rPr>
              <w:tab/>
            </w:r>
            <w:r w:rsidRPr="00D74C3C">
              <w:rPr>
                <w:rFonts w:cs="Arial"/>
                <w:sz w:val="20"/>
                <w:szCs w:val="20"/>
                <w:lang w:val="en-US"/>
              </w:rPr>
              <w:t>July 2025</w:t>
            </w:r>
          </w:p>
          <w:p w14:paraId="355AA358" w14:textId="77777777" w:rsidR="00632DF0" w:rsidRPr="00D74C3C" w:rsidRDefault="00632DF0" w:rsidP="000C56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713936EA" w14:textId="77777777" w:rsidR="00632DF0" w:rsidRDefault="00632DF0" w:rsidP="000C568A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4C3C">
              <w:rPr>
                <w:rFonts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3AFCA7F1" w14:textId="77777777" w:rsidR="00632DF0" w:rsidRPr="00D74C3C" w:rsidRDefault="00632DF0" w:rsidP="000C568A">
            <w:pPr>
              <w:rPr>
                <w:rFonts w:cs="Arial"/>
                <w:sz w:val="20"/>
                <w:szCs w:val="20"/>
              </w:rPr>
            </w:pPr>
          </w:p>
          <w:p w14:paraId="09C3A8FD" w14:textId="77777777" w:rsidR="00632DF0" w:rsidRDefault="00632DF0" w:rsidP="000C568A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4C3C">
              <w:rPr>
                <w:rFonts w:cs="Arial"/>
                <w:i/>
                <w:iCs/>
                <w:sz w:val="20"/>
                <w:szCs w:val="20"/>
              </w:rPr>
              <w:t>This document should also inform the Continuous Monitoring and Enhancement processes.</w:t>
            </w:r>
          </w:p>
          <w:p w14:paraId="32369C9F" w14:textId="77777777" w:rsidR="00632DF0" w:rsidRPr="00D74C3C" w:rsidRDefault="00632DF0" w:rsidP="000C568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9FE99F0" w14:textId="77777777" w:rsidR="00632DF0" w:rsidRDefault="00632DF0" w:rsidP="00441F81">
      <w:pPr>
        <w:rPr>
          <w:b/>
          <w:bCs/>
          <w:sz w:val="28"/>
          <w:szCs w:val="28"/>
        </w:rPr>
        <w:sectPr w:rsidR="00632DF0" w:rsidSect="00DD1F73">
          <w:footerReference w:type="default" r:id="rId7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76B8" w14:paraId="42BE0CB7" w14:textId="77777777" w:rsidTr="00017BBC">
        <w:trPr>
          <w:trHeight w:val="512"/>
        </w:trPr>
        <w:tc>
          <w:tcPr>
            <w:tcW w:w="9016" w:type="dxa"/>
            <w:shd w:val="clear" w:color="auto" w:fill="867537"/>
            <w:vAlign w:val="center"/>
          </w:tcPr>
          <w:p w14:paraId="0E8C985E" w14:textId="0C791A61" w:rsidR="00B276B8" w:rsidRDefault="00017BBC" w:rsidP="00017BB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BBC">
              <w:rPr>
                <w:b/>
                <w:bCs/>
                <w:color w:val="FFFFFF" w:themeColor="background1"/>
                <w:szCs w:val="24"/>
              </w:rPr>
              <w:lastRenderedPageBreak/>
              <w:t xml:space="preserve">QUALITY ENHANCEMENT VISIT (QEV) </w:t>
            </w:r>
            <w:r>
              <w:rPr>
                <w:b/>
                <w:bCs/>
                <w:color w:val="FFFFFF" w:themeColor="background1"/>
                <w:szCs w:val="24"/>
              </w:rPr>
              <w:t>-</w:t>
            </w:r>
            <w:r>
              <w:rPr>
                <w:color w:val="FFFFFF" w:themeColor="background1"/>
              </w:rPr>
              <w:t xml:space="preserve"> </w:t>
            </w:r>
            <w:r w:rsidRPr="00017BBC">
              <w:rPr>
                <w:b/>
                <w:bCs/>
                <w:color w:val="FFFFFF" w:themeColor="background1"/>
                <w:szCs w:val="24"/>
              </w:rPr>
              <w:t>SUPPORTING GUIDANCE</w:t>
            </w:r>
          </w:p>
        </w:tc>
      </w:tr>
    </w:tbl>
    <w:p w14:paraId="2E1CACA9" w14:textId="77777777" w:rsidR="00017BBC" w:rsidRPr="00B276B8" w:rsidRDefault="00017BBC" w:rsidP="00441F81">
      <w:pPr>
        <w:rPr>
          <w:b/>
          <w:bCs/>
          <w:szCs w:val="24"/>
        </w:rPr>
      </w:pPr>
    </w:p>
    <w:p w14:paraId="3ED17752" w14:textId="77777777" w:rsidR="00441F81" w:rsidRPr="00B276B8" w:rsidRDefault="00441F81" w:rsidP="00441F81">
      <w:pPr>
        <w:pStyle w:val="ListParagraph"/>
        <w:numPr>
          <w:ilvl w:val="0"/>
          <w:numId w:val="1"/>
        </w:numPr>
        <w:rPr>
          <w:b/>
          <w:bCs/>
          <w:color w:val="867537"/>
          <w:szCs w:val="24"/>
        </w:rPr>
      </w:pPr>
      <w:r w:rsidRPr="00B276B8">
        <w:rPr>
          <w:b/>
          <w:bCs/>
          <w:color w:val="867537"/>
          <w:szCs w:val="24"/>
        </w:rPr>
        <w:t>Purpose</w:t>
      </w:r>
    </w:p>
    <w:p w14:paraId="7C10F7D2" w14:textId="77777777" w:rsidR="009F38F7" w:rsidRPr="00B276B8" w:rsidRDefault="009F38F7" w:rsidP="009F38F7">
      <w:pPr>
        <w:rPr>
          <w:b/>
          <w:bCs/>
          <w:color w:val="867537"/>
          <w:szCs w:val="24"/>
        </w:rPr>
      </w:pPr>
    </w:p>
    <w:p w14:paraId="2E4B1670" w14:textId="5DBF0F77" w:rsidR="009F38F7" w:rsidRPr="00B276B8" w:rsidRDefault="009F38F7" w:rsidP="009F38F7">
      <w:pPr>
        <w:ind w:left="360"/>
        <w:rPr>
          <w:szCs w:val="24"/>
        </w:rPr>
      </w:pPr>
      <w:r w:rsidRPr="00B276B8">
        <w:rPr>
          <w:szCs w:val="24"/>
        </w:rPr>
        <w:t xml:space="preserve">This document is intended to support Link Tutors through the Quality Enhancement Visit </w:t>
      </w:r>
      <w:r w:rsidR="005520A1" w:rsidRPr="00B276B8">
        <w:rPr>
          <w:szCs w:val="24"/>
        </w:rPr>
        <w:t xml:space="preserve">(QEV) </w:t>
      </w:r>
      <w:r w:rsidRPr="00B276B8">
        <w:rPr>
          <w:szCs w:val="24"/>
        </w:rPr>
        <w:t xml:space="preserve">process including organising and undertaking a QEV, recording and reporting, approval and action planning and communication of outcomes to Partners and a timeline of key activities.   </w:t>
      </w:r>
    </w:p>
    <w:p w14:paraId="1B4421FF" w14:textId="77777777" w:rsidR="009F38F7" w:rsidRPr="00B276B8" w:rsidRDefault="009F38F7" w:rsidP="009F38F7">
      <w:pPr>
        <w:rPr>
          <w:szCs w:val="24"/>
        </w:rPr>
      </w:pPr>
    </w:p>
    <w:p w14:paraId="040F3922" w14:textId="47C687CD" w:rsidR="00441F81" w:rsidRPr="00B276B8" w:rsidRDefault="00441F81" w:rsidP="0084097B">
      <w:pPr>
        <w:ind w:left="360"/>
        <w:rPr>
          <w:szCs w:val="24"/>
        </w:rPr>
      </w:pPr>
      <w:r w:rsidRPr="00B276B8">
        <w:rPr>
          <w:szCs w:val="24"/>
        </w:rPr>
        <w:t xml:space="preserve">As stated in the Teesside University </w:t>
      </w:r>
      <w:r w:rsidR="00BB6C5B">
        <w:rPr>
          <w:szCs w:val="24"/>
        </w:rPr>
        <w:t xml:space="preserve">(TU) </w:t>
      </w:r>
      <w:r w:rsidRPr="00B276B8">
        <w:rPr>
          <w:szCs w:val="24"/>
        </w:rPr>
        <w:t>Quality Framework – QEV reports are approved as part of the annual C</w:t>
      </w:r>
      <w:r w:rsidR="00B276B8">
        <w:rPr>
          <w:szCs w:val="24"/>
        </w:rPr>
        <w:t xml:space="preserve">ontinuous </w:t>
      </w:r>
      <w:r w:rsidRPr="00B276B8">
        <w:rPr>
          <w:szCs w:val="24"/>
        </w:rPr>
        <w:t>M</w:t>
      </w:r>
      <w:r w:rsidR="00B276B8">
        <w:rPr>
          <w:szCs w:val="24"/>
        </w:rPr>
        <w:t xml:space="preserve">onitoring and </w:t>
      </w:r>
      <w:r w:rsidRPr="00B276B8">
        <w:rPr>
          <w:szCs w:val="24"/>
        </w:rPr>
        <w:t>E</w:t>
      </w:r>
      <w:r w:rsidR="00B276B8">
        <w:rPr>
          <w:szCs w:val="24"/>
        </w:rPr>
        <w:t>nhancement</w:t>
      </w:r>
      <w:r w:rsidR="000556D6">
        <w:rPr>
          <w:szCs w:val="24"/>
        </w:rPr>
        <w:t xml:space="preserve"> (CME)</w:t>
      </w:r>
      <w:r w:rsidRPr="00B276B8">
        <w:rPr>
          <w:szCs w:val="24"/>
        </w:rPr>
        <w:t xml:space="preserve"> process. </w:t>
      </w:r>
      <w:r w:rsidR="00B276B8">
        <w:rPr>
          <w:szCs w:val="24"/>
        </w:rPr>
        <w:t xml:space="preserve"> </w:t>
      </w:r>
      <w:r w:rsidRPr="00B276B8">
        <w:rPr>
          <w:szCs w:val="24"/>
        </w:rPr>
        <w:t xml:space="preserve">Key points from the reports are used (alongside other metrics) to inform the Partner Report </w:t>
      </w:r>
      <w:r w:rsidRPr="00B276B8">
        <w:rPr>
          <w:b/>
          <w:bCs/>
          <w:color w:val="FF0000"/>
          <w:szCs w:val="24"/>
        </w:rPr>
        <w:t>D1-Annex 4</w:t>
      </w:r>
      <w:r w:rsidRPr="00B276B8">
        <w:rPr>
          <w:szCs w:val="24"/>
        </w:rPr>
        <w:t>.</w:t>
      </w:r>
    </w:p>
    <w:p w14:paraId="570F71FE" w14:textId="77777777" w:rsidR="00441F81" w:rsidRPr="00B276B8" w:rsidRDefault="00441F81" w:rsidP="00441F81">
      <w:pPr>
        <w:rPr>
          <w:szCs w:val="24"/>
        </w:rPr>
      </w:pPr>
    </w:p>
    <w:p w14:paraId="0694F04C" w14:textId="6D594D2A" w:rsidR="00441F81" w:rsidRPr="00B276B8" w:rsidRDefault="00B30E25" w:rsidP="0084097B">
      <w:pPr>
        <w:ind w:left="360"/>
        <w:rPr>
          <w:szCs w:val="24"/>
        </w:rPr>
      </w:pPr>
      <w:hyperlink r:id="rId8" w:history="1">
        <w:r w:rsidR="00441F81" w:rsidRPr="00B276B8">
          <w:rPr>
            <w:rStyle w:val="Hyperlink"/>
            <w:rFonts w:eastAsia="Times New Roman" w:cs="Arial"/>
            <w:b/>
            <w:bCs/>
            <w:color w:val="0070C0"/>
            <w:szCs w:val="24"/>
            <w:u w:val="none"/>
            <w:lang w:eastAsia="en-GB"/>
          </w:rPr>
          <w:t>Chapter D1 of the Quality Framework</w:t>
        </w:r>
      </w:hyperlink>
      <w:r w:rsidR="00441F81" w:rsidRPr="00B276B8">
        <w:rPr>
          <w:rFonts w:eastAsia="Times New Roman" w:cs="Arial"/>
          <w:szCs w:val="24"/>
          <w:lang w:eastAsia="en-GB"/>
        </w:rPr>
        <w:t xml:space="preserve"> provides guidance on the current processes for C</w:t>
      </w:r>
      <w:r w:rsidR="005520A1" w:rsidRPr="00B276B8">
        <w:rPr>
          <w:rFonts w:eastAsia="Times New Roman" w:cs="Arial"/>
          <w:szCs w:val="24"/>
          <w:lang w:eastAsia="en-GB"/>
        </w:rPr>
        <w:t xml:space="preserve">ME </w:t>
      </w:r>
      <w:r w:rsidR="00441F81" w:rsidRPr="00B276B8">
        <w:rPr>
          <w:rFonts w:eastAsia="Times New Roman" w:cs="Arial"/>
          <w:szCs w:val="24"/>
          <w:lang w:eastAsia="en-GB"/>
        </w:rPr>
        <w:t>at the University</w:t>
      </w:r>
      <w:r w:rsidR="00441F81" w:rsidRPr="00B276B8">
        <w:rPr>
          <w:szCs w:val="24"/>
        </w:rPr>
        <w:t>.</w:t>
      </w:r>
    </w:p>
    <w:p w14:paraId="1488D69D" w14:textId="77777777" w:rsidR="006A3C8E" w:rsidRPr="00B276B8" w:rsidRDefault="006A3C8E" w:rsidP="00441F81">
      <w:pPr>
        <w:rPr>
          <w:szCs w:val="24"/>
        </w:rPr>
      </w:pPr>
    </w:p>
    <w:p w14:paraId="27538B43" w14:textId="15F240F1" w:rsidR="006A3C8E" w:rsidRPr="00B276B8" w:rsidRDefault="006A3C8E" w:rsidP="0084097B">
      <w:pPr>
        <w:ind w:left="360"/>
        <w:rPr>
          <w:szCs w:val="24"/>
        </w:rPr>
      </w:pPr>
      <w:r w:rsidRPr="00B276B8">
        <w:rPr>
          <w:szCs w:val="24"/>
        </w:rPr>
        <w:t xml:space="preserve">All Partnership Provision should have an annual QEV including TNE, Employer Partners and TUCP. </w:t>
      </w:r>
      <w:r w:rsidR="000556D6">
        <w:rPr>
          <w:szCs w:val="24"/>
        </w:rPr>
        <w:t xml:space="preserve"> </w:t>
      </w:r>
      <w:r w:rsidR="00B2639A" w:rsidRPr="00B276B8">
        <w:rPr>
          <w:szCs w:val="24"/>
        </w:rPr>
        <w:t xml:space="preserve">This should help to inform the Partner report. </w:t>
      </w:r>
    </w:p>
    <w:p w14:paraId="022E32F7" w14:textId="66720998" w:rsidR="00B2639A" w:rsidRPr="00B276B8" w:rsidRDefault="00B2639A" w:rsidP="0084097B">
      <w:pPr>
        <w:ind w:left="360"/>
        <w:rPr>
          <w:szCs w:val="24"/>
        </w:rPr>
      </w:pPr>
    </w:p>
    <w:p w14:paraId="2D633D37" w14:textId="722A12A9" w:rsidR="00697F09" w:rsidRPr="00B276B8" w:rsidRDefault="000556D6" w:rsidP="00697F09">
      <w:pPr>
        <w:ind w:left="720" w:firstLine="720"/>
        <w:rPr>
          <w:szCs w:val="24"/>
        </w:rPr>
      </w:pPr>
      <w:r w:rsidRPr="00B276B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812B2" wp14:editId="595D7C48">
                <wp:simplePos x="0" y="0"/>
                <wp:positionH relativeFrom="column">
                  <wp:posOffset>2981209</wp:posOffset>
                </wp:positionH>
                <wp:positionV relativeFrom="paragraph">
                  <wp:posOffset>29383</wp:posOffset>
                </wp:positionV>
                <wp:extent cx="712800" cy="125037"/>
                <wp:effectExtent l="0" t="19050" r="30480" b="4699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" cy="125037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D02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234.75pt;margin-top:2.3pt;width:56.15pt;height: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88ewIAAHMFAAAOAAAAZHJzL2Uyb0RvYy54bWysVMFu2zAMvQ/YPwi6r7azdOmCOkXQosOA&#10;ri3aDj2rshQbkEWNUuJkXz9Kdpyg63YYdpEpkXwkn0meX2xbwzYKfQO25MVJzpmyEqrGrkr+/en6&#10;wxlnPghbCQNWlXynPL9YvH933rm5mkANplLICMT6eedKXofg5lnmZa1a4U/AKUtKDdiKQFdcZRWK&#10;jtBbk03y/FPWAVYOQSrv6fWqV/JFwtdayXCntVeBmZJTbiGdmM6XeGaLczFfoXB1I4c0xD9k0YrG&#10;UtAR6koEwdbY/AbVNhLBgw4nEtoMtG6kSjVQNUX+qprHWjiVaiFyvBtp8v8PVt5uHt09Eg2d83NP&#10;Yqxiq7GNX8qPbRNZu5EstQ1M0uOsmJzlRKkkVTE5zT/OIpnZwdmhD18UtCwKJcdmVYclInSJKLG5&#10;8aF32BvGiB5MU103xqRL7AJ1aZBtBP0/IaWyYZrczbr9BlX/PjvNKZEeKzVOdEmpHKFlh/qSFHZG&#10;xRjGPijNmooqmiTkEeE4aNGralGp/rn4Y8wEGJE1VTFiDwBvFVQMqQ/20VWlzh2d878l1tc9eqTI&#10;YMPo3DYW8C0AE8bIvT1RdkRNFF+g2t0jQ+jnxjt53dDPvBE+3AukQaH/T8Mf7ujQBrqSwyBxVgP+&#10;fOs92lP/kpazjgav5P7HWqDizHy11Nmfi+k0Tmq6TE9nE7rgseblWGPX7SVQbxS0ZpxMYrQPZi9q&#10;hPaZdsQyRiWVsJJil1wG3F8uQ78QaMtItVwmM5pOJ8KNfXQygkdWY5s+bZ8FuqGjA43CLeyHVMxf&#10;tXRvGz0tLNcBdJP6/cDrwDdNdmrWYQvF1XF8T1aHXbn4BQAA//8DAFBLAwQUAAYACAAAACEADxIU&#10;6N8AAAAIAQAADwAAAGRycy9kb3ducmV2LnhtbEyPQUvDQBCF74L/YRnBm900NqXGbIoUhApemhb0&#10;uMmOSXB3NmS3beqvd3rS2zze4833ivXkrDjhGHpPCuazBARS401PrYLD/vVhBSJETUZbT6jgggHW&#10;5e1NoXPjz7TDUxVbwSUUcq2gi3HIpQxNh06HmR+Q2Pvyo9OR5dhKM+ozlzsr0yRZSqd74g+dHnDT&#10;YfNdHZ2C4W2qP9Pd+37rLj8f202aVQebKXV/N708g4g4xb8wXPEZHUpmqv2RTBBWwWL5lHH0eoBg&#10;P1vNeUqtIF08giwL+X9A+QsAAP//AwBQSwECLQAUAAYACAAAACEAtoM4kv4AAADhAQAAEwAAAAAA&#10;AAAAAAAAAAAAAAAAW0NvbnRlbnRfVHlwZXNdLnhtbFBLAQItABQABgAIAAAAIQA4/SH/1gAAAJQB&#10;AAALAAAAAAAAAAAAAAAAAC8BAABfcmVscy8ucmVsc1BLAQItABQABgAIAAAAIQAjNS88ewIAAHMF&#10;AAAOAAAAAAAAAAAAAAAAAC4CAABkcnMvZTJvRG9jLnhtbFBLAQItABQABgAIAAAAIQAPEhTo3wAA&#10;AAgBAAAPAAAAAAAAAAAAAAAAANUEAABkcnMvZG93bnJldi54bWxQSwUGAAAAAAQABADzAAAA4QUA&#10;AAAA&#10;" adj="19706" fillcolor="#bf8f00 [2407]" strokecolor="#091723 [484]" strokeweight="1pt"/>
            </w:pict>
          </mc:Fallback>
        </mc:AlternateContent>
      </w:r>
      <w:r w:rsidR="00B2639A" w:rsidRPr="00B276B8">
        <w:rPr>
          <w:szCs w:val="24"/>
        </w:rPr>
        <w:t xml:space="preserve">Quality Enhancement Report </w:t>
      </w:r>
      <w:r w:rsidR="00B2639A" w:rsidRPr="00B276B8">
        <w:rPr>
          <w:szCs w:val="24"/>
        </w:rPr>
        <w:tab/>
      </w:r>
      <w:r w:rsidR="00B2639A" w:rsidRPr="00B276B8">
        <w:rPr>
          <w:szCs w:val="24"/>
        </w:rPr>
        <w:tab/>
      </w:r>
      <w:r>
        <w:rPr>
          <w:szCs w:val="24"/>
        </w:rPr>
        <w:t xml:space="preserve">   </w:t>
      </w:r>
      <w:r w:rsidR="00B2639A" w:rsidRPr="00B276B8">
        <w:rPr>
          <w:szCs w:val="24"/>
        </w:rPr>
        <w:t>Partner Report</w:t>
      </w:r>
    </w:p>
    <w:p w14:paraId="7BDE97B0" w14:textId="750E33A2" w:rsidR="006A3C8E" w:rsidRPr="000556D6" w:rsidRDefault="006A3C8E" w:rsidP="00441F81">
      <w:pPr>
        <w:rPr>
          <w:szCs w:val="24"/>
        </w:rPr>
      </w:pPr>
    </w:p>
    <w:p w14:paraId="0D2550C4" w14:textId="101C96EB" w:rsidR="006A3C8E" w:rsidRPr="000556D6" w:rsidRDefault="006A3C8E" w:rsidP="006A3C8E">
      <w:pPr>
        <w:pStyle w:val="ListParagraph"/>
        <w:numPr>
          <w:ilvl w:val="0"/>
          <w:numId w:val="1"/>
        </w:numPr>
        <w:rPr>
          <w:b/>
          <w:bCs/>
          <w:color w:val="867537"/>
          <w:szCs w:val="24"/>
        </w:rPr>
      </w:pPr>
      <w:r w:rsidRPr="000556D6">
        <w:rPr>
          <w:b/>
          <w:bCs/>
          <w:color w:val="867537"/>
          <w:szCs w:val="24"/>
        </w:rPr>
        <w:t xml:space="preserve">Undertaking the QEV </w:t>
      </w:r>
    </w:p>
    <w:p w14:paraId="5808F026" w14:textId="77777777" w:rsidR="00C01018" w:rsidRPr="000556D6" w:rsidRDefault="00C01018" w:rsidP="00C01018">
      <w:pPr>
        <w:rPr>
          <w:szCs w:val="24"/>
        </w:rPr>
      </w:pPr>
    </w:p>
    <w:p w14:paraId="4DBB455F" w14:textId="47F18DA2" w:rsidR="00C01018" w:rsidRPr="000556D6" w:rsidRDefault="00C01018" w:rsidP="000556D6">
      <w:pPr>
        <w:pStyle w:val="ListParagraph"/>
        <w:numPr>
          <w:ilvl w:val="0"/>
          <w:numId w:val="11"/>
        </w:numPr>
        <w:rPr>
          <w:szCs w:val="24"/>
        </w:rPr>
      </w:pPr>
      <w:r w:rsidRPr="000556D6">
        <w:rPr>
          <w:szCs w:val="24"/>
        </w:rPr>
        <w:t xml:space="preserve">QEV’s for </w:t>
      </w:r>
      <w:r w:rsidR="000556D6">
        <w:rPr>
          <w:szCs w:val="24"/>
        </w:rPr>
        <w:t xml:space="preserve">the </w:t>
      </w:r>
      <w:r w:rsidRPr="000556D6">
        <w:rPr>
          <w:szCs w:val="24"/>
        </w:rPr>
        <w:t xml:space="preserve">current academic year </w:t>
      </w:r>
      <w:r w:rsidR="00482717" w:rsidRPr="000556D6">
        <w:rPr>
          <w:szCs w:val="24"/>
        </w:rPr>
        <w:t>should</w:t>
      </w:r>
      <w:r w:rsidRPr="000556D6">
        <w:rPr>
          <w:szCs w:val="24"/>
        </w:rPr>
        <w:t xml:space="preserve"> take place in Semester 1 of the intake’s delivery (where possible). </w:t>
      </w:r>
      <w:r w:rsidR="000556D6">
        <w:rPr>
          <w:szCs w:val="24"/>
        </w:rPr>
        <w:t xml:space="preserve"> </w:t>
      </w:r>
      <w:r w:rsidRPr="000556D6">
        <w:rPr>
          <w:szCs w:val="24"/>
        </w:rPr>
        <w:t>This may not always be possible due to schedule of visits such as international travel – however every effort should be made to meet this deadline which may mean QEV’s take place virtually if required (</w:t>
      </w:r>
      <w:r w:rsidR="00785E80" w:rsidRPr="000556D6">
        <w:rPr>
          <w:szCs w:val="24"/>
        </w:rPr>
        <w:t>i.e.,</w:t>
      </w:r>
      <w:r w:rsidRPr="000556D6">
        <w:rPr>
          <w:szCs w:val="24"/>
        </w:rPr>
        <w:t xml:space="preserve"> for TNE)</w:t>
      </w:r>
      <w:r w:rsidR="00785E80" w:rsidRPr="000556D6">
        <w:rPr>
          <w:szCs w:val="24"/>
        </w:rPr>
        <w:t>.</w:t>
      </w:r>
    </w:p>
    <w:p w14:paraId="44014657" w14:textId="77777777" w:rsidR="00785E80" w:rsidRPr="000556D6" w:rsidRDefault="00785E80" w:rsidP="00785E80">
      <w:pPr>
        <w:pStyle w:val="ListParagraph"/>
        <w:rPr>
          <w:szCs w:val="24"/>
        </w:rPr>
      </w:pPr>
    </w:p>
    <w:p w14:paraId="24613D4F" w14:textId="407D16A7" w:rsidR="00C01018" w:rsidRPr="000556D6" w:rsidRDefault="00C01018" w:rsidP="00C01018">
      <w:pPr>
        <w:pStyle w:val="ListParagraph"/>
        <w:numPr>
          <w:ilvl w:val="0"/>
          <w:numId w:val="2"/>
        </w:numPr>
        <w:rPr>
          <w:szCs w:val="24"/>
        </w:rPr>
      </w:pPr>
      <w:r w:rsidRPr="000556D6">
        <w:rPr>
          <w:szCs w:val="24"/>
        </w:rPr>
        <w:t xml:space="preserve">It is the Link Tutor’s responsibility to organise and conduct the QEV. </w:t>
      </w:r>
      <w:r w:rsidR="000556D6">
        <w:rPr>
          <w:szCs w:val="24"/>
        </w:rPr>
        <w:t xml:space="preserve"> </w:t>
      </w:r>
      <w:r w:rsidRPr="000556D6">
        <w:rPr>
          <w:szCs w:val="24"/>
        </w:rPr>
        <w:t xml:space="preserve">Further guidance and support on this can be found in the </w:t>
      </w:r>
      <w:hyperlink r:id="rId9" w:history="1">
        <w:r w:rsidRPr="000556D6">
          <w:rPr>
            <w:rStyle w:val="Hyperlink"/>
            <w:b/>
            <w:bCs/>
            <w:color w:val="0070C0"/>
            <w:szCs w:val="24"/>
            <w:u w:val="none"/>
          </w:rPr>
          <w:t xml:space="preserve">Link Tutor Guidance </w:t>
        </w:r>
        <w:r w:rsidR="000556D6">
          <w:rPr>
            <w:rStyle w:val="Hyperlink"/>
            <w:b/>
            <w:bCs/>
            <w:color w:val="0070C0"/>
            <w:szCs w:val="24"/>
            <w:u w:val="none"/>
          </w:rPr>
          <w:t>D</w:t>
        </w:r>
        <w:r w:rsidRPr="000556D6">
          <w:rPr>
            <w:rStyle w:val="Hyperlink"/>
            <w:b/>
            <w:bCs/>
            <w:color w:val="0070C0"/>
            <w:szCs w:val="24"/>
            <w:u w:val="none"/>
          </w:rPr>
          <w:t>ocument Section 5</w:t>
        </w:r>
        <w:r w:rsidRPr="000556D6">
          <w:rPr>
            <w:rStyle w:val="Hyperlink"/>
            <w:color w:val="auto"/>
            <w:szCs w:val="24"/>
            <w:u w:val="none"/>
          </w:rPr>
          <w:t>.</w:t>
        </w:r>
      </w:hyperlink>
    </w:p>
    <w:p w14:paraId="5861710E" w14:textId="77777777" w:rsidR="00785E80" w:rsidRPr="000556D6" w:rsidRDefault="00785E80" w:rsidP="00785E80">
      <w:pPr>
        <w:rPr>
          <w:szCs w:val="24"/>
        </w:rPr>
      </w:pPr>
    </w:p>
    <w:p w14:paraId="4179B37A" w14:textId="02454300" w:rsidR="00C01018" w:rsidRPr="000556D6" w:rsidRDefault="00C01018" w:rsidP="00C01018">
      <w:pPr>
        <w:pStyle w:val="ListParagraph"/>
        <w:numPr>
          <w:ilvl w:val="0"/>
          <w:numId w:val="2"/>
        </w:numPr>
        <w:rPr>
          <w:szCs w:val="24"/>
        </w:rPr>
      </w:pPr>
      <w:r w:rsidRPr="000556D6">
        <w:rPr>
          <w:szCs w:val="24"/>
        </w:rPr>
        <w:t xml:space="preserve">If this is not possible </w:t>
      </w:r>
      <w:r w:rsidR="0084097B" w:rsidRPr="000556D6">
        <w:rPr>
          <w:szCs w:val="24"/>
        </w:rPr>
        <w:t>i.e.,</w:t>
      </w:r>
      <w:r w:rsidRPr="000556D6">
        <w:rPr>
          <w:szCs w:val="24"/>
        </w:rPr>
        <w:t xml:space="preserve"> </w:t>
      </w:r>
      <w:r w:rsidR="00E73317" w:rsidRPr="000556D6">
        <w:rPr>
          <w:szCs w:val="24"/>
        </w:rPr>
        <w:t xml:space="preserve">Associate Dean (International) </w:t>
      </w:r>
      <w:r w:rsidR="00785E80" w:rsidRPr="000556D6">
        <w:rPr>
          <w:szCs w:val="24"/>
        </w:rPr>
        <w:t xml:space="preserve">or other School nominee </w:t>
      </w:r>
      <w:r w:rsidRPr="000556D6">
        <w:rPr>
          <w:szCs w:val="24"/>
        </w:rPr>
        <w:t>is visiting a TNE partner, the Link Tutor should be consulted and briefed on the outcomes of the report</w:t>
      </w:r>
      <w:r w:rsidR="00B04849" w:rsidRPr="000556D6">
        <w:rPr>
          <w:szCs w:val="24"/>
        </w:rPr>
        <w:t xml:space="preserve"> including the agreed Action Plan. </w:t>
      </w:r>
    </w:p>
    <w:p w14:paraId="2986107A" w14:textId="77777777" w:rsidR="00785E80" w:rsidRPr="000556D6" w:rsidRDefault="00785E80" w:rsidP="00785E80">
      <w:pPr>
        <w:rPr>
          <w:szCs w:val="24"/>
        </w:rPr>
      </w:pPr>
    </w:p>
    <w:p w14:paraId="3AF8670B" w14:textId="77777777" w:rsidR="00B04849" w:rsidRPr="000556D6" w:rsidRDefault="00C01018" w:rsidP="00C01018">
      <w:pPr>
        <w:pStyle w:val="ListParagraph"/>
        <w:numPr>
          <w:ilvl w:val="0"/>
          <w:numId w:val="2"/>
        </w:numPr>
        <w:rPr>
          <w:szCs w:val="24"/>
        </w:rPr>
      </w:pPr>
      <w:r w:rsidRPr="000556D6">
        <w:rPr>
          <w:szCs w:val="24"/>
        </w:rPr>
        <w:t xml:space="preserve">Link Tutors </w:t>
      </w:r>
      <w:r w:rsidR="00785E80" w:rsidRPr="000556D6">
        <w:rPr>
          <w:szCs w:val="24"/>
        </w:rPr>
        <w:t xml:space="preserve">can </w:t>
      </w:r>
      <w:r w:rsidRPr="000556D6">
        <w:rPr>
          <w:szCs w:val="24"/>
        </w:rPr>
        <w:t xml:space="preserve">use the </w:t>
      </w:r>
      <w:hyperlink r:id="rId10" w:history="1">
        <w:r w:rsidRPr="000556D6">
          <w:rPr>
            <w:rStyle w:val="Hyperlink"/>
            <w:b/>
            <w:bCs/>
            <w:color w:val="0070C0"/>
            <w:szCs w:val="24"/>
            <w:u w:val="none"/>
          </w:rPr>
          <w:t>Link Tutor Network</w:t>
        </w:r>
      </w:hyperlink>
      <w:r w:rsidRPr="000556D6">
        <w:rPr>
          <w:b/>
          <w:bCs/>
          <w:color w:val="0070C0"/>
          <w:szCs w:val="24"/>
        </w:rPr>
        <w:t xml:space="preserve"> </w:t>
      </w:r>
      <w:r w:rsidRPr="000556D6">
        <w:rPr>
          <w:szCs w:val="24"/>
        </w:rPr>
        <w:t xml:space="preserve">to consult with other Link Tutors across the institution and in different academic School’s regarding the organisation of the visit. </w:t>
      </w:r>
    </w:p>
    <w:p w14:paraId="60571BC4" w14:textId="6ED32EA4" w:rsidR="00C01018" w:rsidRPr="000556D6" w:rsidRDefault="00C01018" w:rsidP="00B04849">
      <w:pPr>
        <w:ind w:left="720"/>
        <w:rPr>
          <w:i/>
          <w:iCs/>
          <w:szCs w:val="24"/>
        </w:rPr>
      </w:pPr>
      <w:r w:rsidRPr="000556D6">
        <w:rPr>
          <w:i/>
          <w:iCs/>
          <w:szCs w:val="24"/>
        </w:rPr>
        <w:t xml:space="preserve">For example, if SSSHL </w:t>
      </w:r>
      <w:r w:rsidR="000556D6">
        <w:rPr>
          <w:i/>
          <w:iCs/>
          <w:szCs w:val="24"/>
        </w:rPr>
        <w:t xml:space="preserve">were </w:t>
      </w:r>
      <w:r w:rsidRPr="000556D6">
        <w:rPr>
          <w:i/>
          <w:iCs/>
          <w:szCs w:val="24"/>
        </w:rPr>
        <w:t>undertaking a visit at Darlington College, this could be done in conjunction with other School’s to better use the resource and time of the partner staff</w:t>
      </w:r>
      <w:r w:rsidR="00785E80" w:rsidRPr="000556D6">
        <w:rPr>
          <w:i/>
          <w:iCs/>
          <w:szCs w:val="24"/>
        </w:rPr>
        <w:t xml:space="preserve"> involved. </w:t>
      </w:r>
    </w:p>
    <w:p w14:paraId="1E992B8E" w14:textId="77777777" w:rsidR="00785E80" w:rsidRDefault="00785E80" w:rsidP="00785E80">
      <w:pPr>
        <w:rPr>
          <w:szCs w:val="24"/>
        </w:rPr>
      </w:pPr>
    </w:p>
    <w:p w14:paraId="04EF8EC1" w14:textId="15CE7C76" w:rsidR="00C01018" w:rsidRPr="000556D6" w:rsidRDefault="00C01018" w:rsidP="00C01018">
      <w:pPr>
        <w:pStyle w:val="ListParagraph"/>
        <w:numPr>
          <w:ilvl w:val="0"/>
          <w:numId w:val="2"/>
        </w:numPr>
        <w:rPr>
          <w:szCs w:val="24"/>
        </w:rPr>
      </w:pPr>
      <w:r w:rsidRPr="000556D6">
        <w:rPr>
          <w:szCs w:val="24"/>
        </w:rPr>
        <w:t>Where possible</w:t>
      </w:r>
      <w:r w:rsidR="00785E80" w:rsidRPr="000556D6">
        <w:rPr>
          <w:szCs w:val="24"/>
        </w:rPr>
        <w:t>, staff should also look to</w:t>
      </w:r>
      <w:r w:rsidRPr="000556D6">
        <w:rPr>
          <w:szCs w:val="24"/>
        </w:rPr>
        <w:t xml:space="preserve"> group courses within one visit. </w:t>
      </w:r>
      <w:r w:rsidR="004A224E">
        <w:rPr>
          <w:szCs w:val="24"/>
        </w:rPr>
        <w:t xml:space="preserve"> </w:t>
      </w:r>
      <w:r w:rsidRPr="000556D6">
        <w:rPr>
          <w:szCs w:val="24"/>
        </w:rPr>
        <w:t>For example, TUIBS undertaking a visit to MDIS would look at all courses delivered there</w:t>
      </w:r>
      <w:r w:rsidR="00785E80" w:rsidRPr="000556D6">
        <w:rPr>
          <w:szCs w:val="24"/>
        </w:rPr>
        <w:t xml:space="preserve"> for their </w:t>
      </w:r>
      <w:r w:rsidR="00B04849" w:rsidRPr="000556D6">
        <w:rPr>
          <w:szCs w:val="24"/>
        </w:rPr>
        <w:t>School</w:t>
      </w:r>
      <w:r w:rsidRPr="000556D6">
        <w:rPr>
          <w:szCs w:val="24"/>
        </w:rPr>
        <w:t xml:space="preserve">. </w:t>
      </w:r>
    </w:p>
    <w:p w14:paraId="16462D3D" w14:textId="77777777" w:rsidR="006A3C8E" w:rsidRDefault="006A3C8E" w:rsidP="006A3C8E">
      <w:pPr>
        <w:rPr>
          <w:sz w:val="22"/>
        </w:rPr>
      </w:pPr>
    </w:p>
    <w:p w14:paraId="7ADEBC37" w14:textId="5470A76A" w:rsidR="009F38F7" w:rsidRPr="004A224E" w:rsidRDefault="00C01018" w:rsidP="009F38F7">
      <w:pPr>
        <w:pStyle w:val="ListParagraph"/>
        <w:numPr>
          <w:ilvl w:val="0"/>
          <w:numId w:val="1"/>
        </w:numPr>
        <w:rPr>
          <w:b/>
          <w:bCs/>
          <w:color w:val="867537"/>
          <w:szCs w:val="24"/>
        </w:rPr>
      </w:pPr>
      <w:r w:rsidRPr="004A224E">
        <w:rPr>
          <w:b/>
          <w:bCs/>
          <w:color w:val="867537"/>
          <w:szCs w:val="24"/>
        </w:rPr>
        <w:lastRenderedPageBreak/>
        <w:t xml:space="preserve">Completing the </w:t>
      </w:r>
      <w:r w:rsidR="009F38F7" w:rsidRPr="004A224E">
        <w:rPr>
          <w:b/>
          <w:bCs/>
          <w:color w:val="867537"/>
          <w:szCs w:val="24"/>
        </w:rPr>
        <w:t>F</w:t>
      </w:r>
      <w:r w:rsidRPr="004A224E">
        <w:rPr>
          <w:b/>
          <w:bCs/>
          <w:color w:val="867537"/>
          <w:szCs w:val="24"/>
        </w:rPr>
        <w:t>orm</w:t>
      </w:r>
    </w:p>
    <w:p w14:paraId="55661211" w14:textId="77777777" w:rsidR="00D12CB5" w:rsidRPr="004A224E" w:rsidRDefault="00D12CB5" w:rsidP="00D12CB5">
      <w:pPr>
        <w:rPr>
          <w:szCs w:val="24"/>
        </w:rPr>
      </w:pPr>
    </w:p>
    <w:p w14:paraId="67391D47" w14:textId="7C28F7DF" w:rsidR="00036445" w:rsidRPr="004A224E" w:rsidRDefault="009220BA" w:rsidP="0008482C">
      <w:pPr>
        <w:pStyle w:val="Header"/>
        <w:numPr>
          <w:ilvl w:val="0"/>
          <w:numId w:val="5"/>
        </w:numPr>
        <w:rPr>
          <w:rFonts w:cs="Arial"/>
          <w:szCs w:val="24"/>
        </w:rPr>
      </w:pPr>
      <w:r w:rsidRPr="004A224E">
        <w:rPr>
          <w:rFonts w:cs="Arial"/>
          <w:szCs w:val="24"/>
        </w:rPr>
        <w:t>The QEV form</w:t>
      </w:r>
      <w:r w:rsidR="005D5D5D" w:rsidRPr="004A224E">
        <w:rPr>
          <w:rFonts w:cs="Arial"/>
          <w:szCs w:val="24"/>
        </w:rPr>
        <w:t xml:space="preserve"> and associated </w:t>
      </w:r>
      <w:r w:rsidR="00B04849" w:rsidRPr="004A224E">
        <w:rPr>
          <w:rFonts w:cs="Arial"/>
          <w:szCs w:val="24"/>
        </w:rPr>
        <w:t>A</w:t>
      </w:r>
      <w:r w:rsidR="005D5D5D" w:rsidRPr="004A224E">
        <w:rPr>
          <w:rFonts w:cs="Arial"/>
          <w:szCs w:val="24"/>
        </w:rPr>
        <w:t xml:space="preserve">ction </w:t>
      </w:r>
      <w:r w:rsidR="00B04849" w:rsidRPr="004A224E">
        <w:rPr>
          <w:rFonts w:cs="Arial"/>
          <w:szCs w:val="24"/>
        </w:rPr>
        <w:t>P</w:t>
      </w:r>
      <w:r w:rsidR="005D5D5D" w:rsidRPr="004A224E">
        <w:rPr>
          <w:rFonts w:cs="Arial"/>
          <w:szCs w:val="24"/>
        </w:rPr>
        <w:t>lan</w:t>
      </w:r>
      <w:r w:rsidR="00B04849" w:rsidRPr="004A224E">
        <w:rPr>
          <w:rFonts w:cs="Arial"/>
          <w:szCs w:val="24"/>
        </w:rPr>
        <w:t xml:space="preserve"> (</w:t>
      </w:r>
      <w:r w:rsidR="004A224E" w:rsidRPr="004A224E">
        <w:rPr>
          <w:rFonts w:cs="Arial"/>
          <w:b/>
          <w:bCs/>
          <w:color w:val="FF0000"/>
          <w:szCs w:val="24"/>
        </w:rPr>
        <w:t xml:space="preserve">see </w:t>
      </w:r>
      <w:r w:rsidR="00B04849" w:rsidRPr="004A224E">
        <w:rPr>
          <w:rFonts w:cs="Arial"/>
          <w:b/>
          <w:bCs/>
          <w:color w:val="FF0000"/>
          <w:szCs w:val="24"/>
        </w:rPr>
        <w:t>Appendix 1</w:t>
      </w:r>
      <w:r w:rsidR="00B04849" w:rsidRPr="004A224E">
        <w:rPr>
          <w:rFonts w:cs="Arial"/>
          <w:szCs w:val="24"/>
        </w:rPr>
        <w:t>)</w:t>
      </w:r>
      <w:r w:rsidRPr="004A224E">
        <w:rPr>
          <w:rFonts w:cs="Arial"/>
          <w:szCs w:val="24"/>
        </w:rPr>
        <w:t xml:space="preserve"> should be completed during the visit </w:t>
      </w:r>
      <w:r w:rsidR="00B04849" w:rsidRPr="004A224E">
        <w:rPr>
          <w:rFonts w:cs="Arial"/>
          <w:szCs w:val="24"/>
        </w:rPr>
        <w:t>in conjunction with the</w:t>
      </w:r>
      <w:r w:rsidRPr="004A224E">
        <w:rPr>
          <w:rFonts w:cs="Arial"/>
          <w:szCs w:val="24"/>
        </w:rPr>
        <w:t xml:space="preserve"> appropriate partner staff.</w:t>
      </w:r>
    </w:p>
    <w:p w14:paraId="7E06A4E4" w14:textId="77777777" w:rsidR="009203D5" w:rsidRPr="004A224E" w:rsidRDefault="009203D5" w:rsidP="009203D5">
      <w:pPr>
        <w:pStyle w:val="Header"/>
        <w:rPr>
          <w:rFonts w:cs="Arial"/>
          <w:szCs w:val="24"/>
        </w:rPr>
      </w:pPr>
    </w:p>
    <w:p w14:paraId="549E3745" w14:textId="77777777" w:rsidR="009203D5" w:rsidRPr="004A224E" w:rsidRDefault="009203D5" w:rsidP="009203D5">
      <w:pPr>
        <w:pStyle w:val="ListParagraph"/>
        <w:numPr>
          <w:ilvl w:val="0"/>
          <w:numId w:val="4"/>
        </w:numPr>
        <w:rPr>
          <w:i/>
          <w:iCs/>
          <w:szCs w:val="24"/>
        </w:rPr>
      </w:pPr>
      <w:r w:rsidRPr="004A224E">
        <w:rPr>
          <w:szCs w:val="24"/>
        </w:rPr>
        <w:t xml:space="preserve">Link Tutor name plus person conducting the report (if different) both need to be added to the report form in Section A. </w:t>
      </w:r>
    </w:p>
    <w:p w14:paraId="54BB314D" w14:textId="77777777" w:rsidR="009203D5" w:rsidRPr="004A224E" w:rsidRDefault="009203D5" w:rsidP="009203D5">
      <w:pPr>
        <w:rPr>
          <w:szCs w:val="24"/>
        </w:rPr>
      </w:pPr>
    </w:p>
    <w:p w14:paraId="35854A25" w14:textId="4F01E758" w:rsidR="009203D5" w:rsidRDefault="009203D5" w:rsidP="009203D5">
      <w:pPr>
        <w:jc w:val="center"/>
        <w:rPr>
          <w:i/>
          <w:iCs/>
          <w:sz w:val="22"/>
        </w:rPr>
      </w:pPr>
      <w:r>
        <w:rPr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A1628" wp14:editId="501FDBB4">
                <wp:simplePos x="0" y="0"/>
                <wp:positionH relativeFrom="column">
                  <wp:posOffset>3665162</wp:posOffset>
                </wp:positionH>
                <wp:positionV relativeFrom="paragraph">
                  <wp:posOffset>439707</wp:posOffset>
                </wp:positionV>
                <wp:extent cx="307917" cy="235874"/>
                <wp:effectExtent l="19050" t="19050" r="35560" b="3111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1414">
                          <a:off x="0" y="0"/>
                          <a:ext cx="307917" cy="2358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02D2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288.6pt;margin-top:34.6pt;width:24.25pt;height:18.55pt;rotation:-95965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qiZgIAACYFAAAOAAAAZHJzL2Uyb0RvYy54bWysVE1PGzEQvVfqf7B8L/tBaCBigyIQVSUE&#10;UaHibLw2u5LX446dbNJf37F3syCKWqnqxRp7Zp5nnt/4/GLXGbZV6FuwFS+Ocs6UlVC39rni3x+u&#10;P51y5oOwtTBgVcX3yvOL5ccP571bqBIaMLVCRiDWL3pX8SYEt8gyLxvVCX8ETllyasBOBNric1aj&#10;6Am9M1mZ55+zHrB2CFJ5T6dXg5MvE77WSoY7rb0KzFScagtpxbQ+xTVbnovFMwrXtHIsQ/xDFZ1o&#10;LV06QV2JINgG29+gulYieNDhSEKXgdatVKkH6qbI33Rz3winUi9EjncTTf7/wcrb7b1bI9HQO7/w&#10;ZMYudho7hkBslfm8LGbFLDVH5bJd4m4/cad2gUk6PM7nZ8WcM0mu8vjkdD6L3GYDVsR06MMXBR2L&#10;RsWN0mGFCH1CFtsbH4b4Qxwlv5SUrLA3KiIZ+01p1tZ0a5myk1rUpUG2FfTOQkplw1Cyb0SthuPi&#10;JM/Tg1NRU0YqMQFGZN0aM2EXf8Ieah3jY6pKYpuS878nTxnpZrBhSu5aC/gegAnFyKoe4g8kDdRE&#10;lp6g3q9xeDwSvHfyuiXCb4QPa4GkbTqkeQ13tGgDfcVhtDhrAH++dx7jSXLk5aynWam4/7ERqDgz&#10;Xy2J8ayYzeJwpc3sZF7SBl97nl577Ka7BHqmIlWXzBgfzMHUCN0jjfUq3kouYSXdXXEZ8LC5DMMM&#10;08cg1WqVwmignAg39t7JCB5ZjVp62D0KdKPqAsn1Fg5zJRZvdDfExkwLq00A3SZRvvA68k3DmIQz&#10;fhxx2l/vU9TL97b8BQAA//8DAFBLAwQUAAYACAAAACEAw3m9At4AAAAKAQAADwAAAGRycy9kb3du&#10;cmV2LnhtbEyPwWrDMAyG74O9g9Fgl7LaTWmyZXHKKBR6G0v3AG6sJWGxHGKnSd9+2mk7CaGPX99f&#10;7BfXiyuOofOkYbNWIJBqbztqNHyej0/PIEI0ZE3vCTXcMMC+vL8rTG79TB94rWIjOIRCbjS0MQ65&#10;lKFu0Zmw9gMS37786EzkdWykHc3M4a6XiVKpdKYj/tCaAQ8t1t/V5DQcpaveJ9WcaN7cDn7lV+OQ&#10;oNaPD8vbK4iIS/yD4Vef1aFkp4ufyAbRa9hlWcKohvSFJwNpsstAXJhU6RZkWcj/FcofAAAA//8D&#10;AFBLAQItABQABgAIAAAAIQC2gziS/gAAAOEBAAATAAAAAAAAAAAAAAAAAAAAAABbQ29udGVudF9U&#10;eXBlc10ueG1sUEsBAi0AFAAGAAgAAAAhADj9If/WAAAAlAEAAAsAAAAAAAAAAAAAAAAALwEAAF9y&#10;ZWxzLy5yZWxzUEsBAi0AFAAGAAgAAAAhAEz+6qJmAgAAJgUAAA4AAAAAAAAAAAAAAAAALgIAAGRy&#10;cy9lMm9Eb2MueG1sUEsBAi0AFAAGAAgAAAAhAMN5vQLeAAAACgEAAA8AAAAAAAAAAAAAAAAAwAQA&#10;AGRycy9kb3ducmV2LnhtbFBLBQYAAAAABAAEAPMAAADLBQAAAAA=&#10;" adj="8273" fillcolor="#ffc000 [3207]" strokecolor="#261c00 [487]" strokeweight="1pt"/>
            </w:pict>
          </mc:Fallback>
        </mc:AlternateContent>
      </w:r>
      <w:r w:rsidRPr="0084097B">
        <w:rPr>
          <w:i/>
          <w:iCs/>
          <w:noProof/>
          <w:sz w:val="22"/>
        </w:rPr>
        <w:drawing>
          <wp:inline distT="0" distB="0" distL="0" distR="0" wp14:anchorId="2A0A11AC" wp14:editId="35560640">
            <wp:extent cx="1461600" cy="1097644"/>
            <wp:effectExtent l="19050" t="19050" r="24765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829" cy="11090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679F33" w14:textId="77777777" w:rsidR="009203D5" w:rsidRPr="004A224E" w:rsidRDefault="009203D5" w:rsidP="009203D5">
      <w:pPr>
        <w:jc w:val="center"/>
        <w:rPr>
          <w:i/>
          <w:iCs/>
          <w:szCs w:val="24"/>
        </w:rPr>
      </w:pPr>
    </w:p>
    <w:p w14:paraId="300F3B68" w14:textId="77777777" w:rsidR="009203D5" w:rsidRPr="004A224E" w:rsidRDefault="00036445" w:rsidP="009203D5">
      <w:pPr>
        <w:pStyle w:val="Header"/>
        <w:numPr>
          <w:ilvl w:val="0"/>
          <w:numId w:val="5"/>
        </w:numPr>
        <w:rPr>
          <w:rFonts w:cs="Arial"/>
          <w:szCs w:val="24"/>
        </w:rPr>
      </w:pPr>
      <w:r w:rsidRPr="004A224E">
        <w:rPr>
          <w:rFonts w:cs="Arial"/>
          <w:szCs w:val="24"/>
        </w:rPr>
        <w:t>All sections should be completed</w:t>
      </w:r>
      <w:r w:rsidR="009203D5" w:rsidRPr="004A224E">
        <w:rPr>
          <w:rFonts w:cs="Arial"/>
          <w:szCs w:val="24"/>
        </w:rPr>
        <w:t xml:space="preserve"> on the QEV Form.</w:t>
      </w:r>
    </w:p>
    <w:p w14:paraId="653FC708" w14:textId="77777777" w:rsidR="009203D5" w:rsidRPr="004A224E" w:rsidRDefault="009203D5" w:rsidP="009203D5">
      <w:pPr>
        <w:pStyle w:val="Header"/>
        <w:rPr>
          <w:rFonts w:cs="Arial"/>
          <w:szCs w:val="24"/>
        </w:rPr>
      </w:pPr>
    </w:p>
    <w:p w14:paraId="18B88A9F" w14:textId="52045337" w:rsidR="009203D5" w:rsidRPr="004A224E" w:rsidRDefault="009203D5" w:rsidP="009203D5">
      <w:pPr>
        <w:pStyle w:val="Header"/>
        <w:numPr>
          <w:ilvl w:val="0"/>
          <w:numId w:val="5"/>
        </w:numPr>
        <w:rPr>
          <w:rFonts w:cs="Arial"/>
          <w:szCs w:val="24"/>
        </w:rPr>
      </w:pPr>
      <w:r w:rsidRPr="004A224E">
        <w:rPr>
          <w:rFonts w:cs="Arial"/>
          <w:szCs w:val="24"/>
        </w:rPr>
        <w:t xml:space="preserve">If the answer to Section 5 is </w:t>
      </w:r>
      <w:r w:rsidRPr="004A224E">
        <w:rPr>
          <w:rFonts w:cs="Arial"/>
          <w:b/>
          <w:bCs/>
          <w:szCs w:val="24"/>
        </w:rPr>
        <w:t>No</w:t>
      </w:r>
      <w:r w:rsidRPr="004A224E">
        <w:rPr>
          <w:rFonts w:cs="Arial"/>
          <w:szCs w:val="24"/>
        </w:rPr>
        <w:t xml:space="preserve">, this should be addressed as an action and </w:t>
      </w:r>
      <w:proofErr w:type="gramStart"/>
      <w:r w:rsidRPr="004A224E">
        <w:rPr>
          <w:rFonts w:cs="Arial"/>
          <w:szCs w:val="24"/>
        </w:rPr>
        <w:t>CV’s</w:t>
      </w:r>
      <w:proofErr w:type="gramEnd"/>
      <w:r w:rsidRPr="004A224E">
        <w:rPr>
          <w:rFonts w:cs="Arial"/>
          <w:szCs w:val="24"/>
        </w:rPr>
        <w:t xml:space="preserve"> sent to SSLESC for immediate approval. </w:t>
      </w:r>
    </w:p>
    <w:p w14:paraId="732577AB" w14:textId="77777777" w:rsidR="009203D5" w:rsidRPr="004A224E" w:rsidRDefault="009203D5" w:rsidP="009203D5">
      <w:pPr>
        <w:pStyle w:val="ListParagraph"/>
        <w:rPr>
          <w:rFonts w:cs="Arial"/>
          <w:szCs w:val="24"/>
        </w:rPr>
      </w:pPr>
    </w:p>
    <w:p w14:paraId="5366D6D4" w14:textId="4A040BD5" w:rsidR="009203D5" w:rsidRDefault="009203D5" w:rsidP="009203D5">
      <w:pPr>
        <w:pStyle w:val="Header"/>
        <w:jc w:val="center"/>
        <w:rPr>
          <w:rFonts w:cs="Arial"/>
          <w:sz w:val="22"/>
        </w:rPr>
      </w:pPr>
      <w:r w:rsidRPr="009203D5">
        <w:rPr>
          <w:rFonts w:cs="Arial"/>
          <w:noProof/>
          <w:sz w:val="22"/>
        </w:rPr>
        <w:drawing>
          <wp:inline distT="0" distB="0" distL="0" distR="0" wp14:anchorId="6765B4BB" wp14:editId="58436B7A">
            <wp:extent cx="3533495" cy="623627"/>
            <wp:effectExtent l="19050" t="19050" r="101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8495" cy="6333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0AFF39" w14:textId="77777777" w:rsidR="009203D5" w:rsidRPr="004A224E" w:rsidRDefault="009203D5" w:rsidP="009203D5">
      <w:pPr>
        <w:pStyle w:val="Header"/>
        <w:jc w:val="center"/>
        <w:rPr>
          <w:rFonts w:cs="Arial"/>
          <w:szCs w:val="24"/>
        </w:rPr>
      </w:pPr>
    </w:p>
    <w:p w14:paraId="332FDF01" w14:textId="762B6EE0" w:rsidR="00036445" w:rsidRPr="004A224E" w:rsidRDefault="009203D5" w:rsidP="009203D5">
      <w:pPr>
        <w:pStyle w:val="Header"/>
        <w:numPr>
          <w:ilvl w:val="0"/>
          <w:numId w:val="5"/>
        </w:numPr>
        <w:rPr>
          <w:rFonts w:cs="Arial"/>
          <w:szCs w:val="24"/>
        </w:rPr>
      </w:pPr>
      <w:r w:rsidRPr="004A224E">
        <w:rPr>
          <w:rFonts w:cs="Arial"/>
          <w:szCs w:val="24"/>
        </w:rPr>
        <w:t xml:space="preserve">Any </w:t>
      </w:r>
      <w:r w:rsidR="00036445" w:rsidRPr="004A224E">
        <w:rPr>
          <w:rFonts w:cs="Arial"/>
          <w:szCs w:val="24"/>
        </w:rPr>
        <w:t>previous actions not completed from prior r</w:t>
      </w:r>
      <w:r w:rsidRPr="004A224E">
        <w:rPr>
          <w:rFonts w:cs="Arial"/>
          <w:szCs w:val="24"/>
        </w:rPr>
        <w:t>e</w:t>
      </w:r>
      <w:r w:rsidR="00036445" w:rsidRPr="004A224E">
        <w:rPr>
          <w:rFonts w:cs="Arial"/>
          <w:szCs w:val="24"/>
        </w:rPr>
        <w:t>port should be included in Section 1 of the Action Plan (</w:t>
      </w:r>
      <w:r w:rsidR="004A224E" w:rsidRPr="004A224E">
        <w:rPr>
          <w:rFonts w:cs="Arial"/>
          <w:b/>
          <w:bCs/>
          <w:color w:val="FF0000"/>
          <w:szCs w:val="24"/>
        </w:rPr>
        <w:t xml:space="preserve">see </w:t>
      </w:r>
      <w:r w:rsidR="00036445" w:rsidRPr="004A224E">
        <w:rPr>
          <w:rFonts w:cs="Arial"/>
          <w:b/>
          <w:bCs/>
          <w:color w:val="FF0000"/>
          <w:szCs w:val="24"/>
        </w:rPr>
        <w:t>Appendix 1</w:t>
      </w:r>
      <w:r w:rsidR="00036445" w:rsidRPr="004A224E">
        <w:rPr>
          <w:rFonts w:cs="Arial"/>
          <w:szCs w:val="24"/>
        </w:rPr>
        <w:t>).</w:t>
      </w:r>
    </w:p>
    <w:p w14:paraId="2F50508D" w14:textId="77777777" w:rsidR="009203D5" w:rsidRPr="004A224E" w:rsidRDefault="009203D5" w:rsidP="009203D5">
      <w:pPr>
        <w:pStyle w:val="Header"/>
        <w:rPr>
          <w:rFonts w:cs="Arial"/>
          <w:szCs w:val="24"/>
        </w:rPr>
      </w:pPr>
    </w:p>
    <w:p w14:paraId="7F4ACD4C" w14:textId="633E8671" w:rsidR="009220BA" w:rsidRDefault="009203D5" w:rsidP="009203D5">
      <w:pPr>
        <w:pStyle w:val="Header"/>
        <w:jc w:val="center"/>
        <w:rPr>
          <w:rFonts w:cs="Arial"/>
          <w:sz w:val="22"/>
        </w:rPr>
      </w:pPr>
      <w:r w:rsidRPr="009203D5">
        <w:rPr>
          <w:rFonts w:cs="Arial"/>
          <w:noProof/>
          <w:sz w:val="22"/>
        </w:rPr>
        <w:drawing>
          <wp:inline distT="0" distB="0" distL="0" distR="0" wp14:anchorId="51BA677A" wp14:editId="0CEA436D">
            <wp:extent cx="3220258" cy="1341120"/>
            <wp:effectExtent l="19050" t="19050" r="1841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4265" cy="13511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FAD765" w14:textId="77777777" w:rsidR="009203D5" w:rsidRPr="00F342FD" w:rsidRDefault="009203D5" w:rsidP="009203D5">
      <w:pPr>
        <w:pStyle w:val="Header"/>
        <w:jc w:val="center"/>
        <w:rPr>
          <w:rFonts w:cs="Arial"/>
          <w:szCs w:val="24"/>
        </w:rPr>
      </w:pPr>
    </w:p>
    <w:p w14:paraId="6EE7382D" w14:textId="3AC5B858" w:rsidR="009203D5" w:rsidRPr="00F342FD" w:rsidRDefault="0008482C" w:rsidP="009203D5">
      <w:pPr>
        <w:pStyle w:val="Header"/>
        <w:numPr>
          <w:ilvl w:val="0"/>
          <w:numId w:val="5"/>
        </w:numPr>
        <w:rPr>
          <w:rFonts w:cs="Arial"/>
          <w:szCs w:val="24"/>
        </w:rPr>
      </w:pPr>
      <w:r w:rsidRPr="00F342FD">
        <w:rPr>
          <w:szCs w:val="24"/>
        </w:rPr>
        <w:t xml:space="preserve">QEV reports will not be accepted without a completed </w:t>
      </w:r>
      <w:r w:rsidR="00B04849" w:rsidRPr="00F342FD">
        <w:rPr>
          <w:szCs w:val="24"/>
        </w:rPr>
        <w:t>A</w:t>
      </w:r>
      <w:r w:rsidRPr="00F342FD">
        <w:rPr>
          <w:szCs w:val="24"/>
        </w:rPr>
        <w:t xml:space="preserve">ction </w:t>
      </w:r>
      <w:r w:rsidR="00B04849" w:rsidRPr="00F342FD">
        <w:rPr>
          <w:szCs w:val="24"/>
        </w:rPr>
        <w:t>P</w:t>
      </w:r>
      <w:r w:rsidRPr="00F342FD">
        <w:rPr>
          <w:szCs w:val="24"/>
        </w:rPr>
        <w:t>lan</w:t>
      </w:r>
      <w:r w:rsidR="009203D5" w:rsidRPr="00F342FD">
        <w:rPr>
          <w:szCs w:val="24"/>
        </w:rPr>
        <w:t xml:space="preserve"> - </w:t>
      </w:r>
      <w:r w:rsidR="009203D5" w:rsidRPr="00F342FD">
        <w:rPr>
          <w:rFonts w:cs="Arial"/>
          <w:szCs w:val="24"/>
        </w:rPr>
        <w:t>Section 2 of the Action Plan (</w:t>
      </w:r>
      <w:r w:rsidR="00F342FD" w:rsidRPr="00F342FD">
        <w:rPr>
          <w:rFonts w:cs="Arial"/>
          <w:b/>
          <w:bCs/>
          <w:color w:val="FF0000"/>
          <w:szCs w:val="24"/>
        </w:rPr>
        <w:t xml:space="preserve">see </w:t>
      </w:r>
      <w:r w:rsidR="009203D5" w:rsidRPr="00F342FD">
        <w:rPr>
          <w:rFonts w:cs="Arial"/>
          <w:b/>
          <w:bCs/>
          <w:color w:val="FF0000"/>
          <w:szCs w:val="24"/>
        </w:rPr>
        <w:t>Appendix 1</w:t>
      </w:r>
      <w:r w:rsidR="009203D5" w:rsidRPr="00F342FD">
        <w:rPr>
          <w:rFonts w:cs="Arial"/>
          <w:szCs w:val="24"/>
        </w:rPr>
        <w:t>).</w:t>
      </w:r>
    </w:p>
    <w:p w14:paraId="010E2982" w14:textId="77777777" w:rsidR="009203D5" w:rsidRPr="00F342FD" w:rsidRDefault="009203D5" w:rsidP="009203D5">
      <w:pPr>
        <w:pStyle w:val="Header"/>
        <w:rPr>
          <w:rFonts w:cs="Arial"/>
          <w:szCs w:val="24"/>
        </w:rPr>
      </w:pPr>
    </w:p>
    <w:p w14:paraId="19C26C94" w14:textId="665CD662" w:rsidR="009203D5" w:rsidRPr="009203D5" w:rsidRDefault="009203D5" w:rsidP="009203D5">
      <w:pPr>
        <w:pStyle w:val="Header"/>
        <w:jc w:val="center"/>
        <w:rPr>
          <w:rFonts w:cs="Arial"/>
          <w:sz w:val="22"/>
        </w:rPr>
      </w:pPr>
      <w:r w:rsidRPr="009203D5">
        <w:rPr>
          <w:rFonts w:cs="Arial"/>
          <w:noProof/>
          <w:sz w:val="22"/>
        </w:rPr>
        <w:drawing>
          <wp:inline distT="0" distB="0" distL="0" distR="0" wp14:anchorId="246D5BC4" wp14:editId="009DC28E">
            <wp:extent cx="3325091" cy="1242212"/>
            <wp:effectExtent l="19050" t="19050" r="27940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5400" cy="12460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CF29F3" w14:textId="77777777" w:rsidR="009203D5" w:rsidRDefault="009203D5" w:rsidP="005D5D5D">
      <w:pPr>
        <w:rPr>
          <w:szCs w:val="24"/>
        </w:rPr>
      </w:pPr>
    </w:p>
    <w:p w14:paraId="58D04B43" w14:textId="77777777" w:rsidR="00017BBC" w:rsidRDefault="00017BBC" w:rsidP="005D5D5D">
      <w:pPr>
        <w:rPr>
          <w:szCs w:val="24"/>
        </w:rPr>
      </w:pPr>
    </w:p>
    <w:p w14:paraId="53A46529" w14:textId="77777777" w:rsidR="00017BBC" w:rsidRPr="000972E7" w:rsidRDefault="00017BBC" w:rsidP="005D5D5D">
      <w:pPr>
        <w:rPr>
          <w:szCs w:val="24"/>
        </w:rPr>
      </w:pPr>
    </w:p>
    <w:p w14:paraId="402D44BD" w14:textId="77777777" w:rsidR="000244EE" w:rsidRPr="000972E7" w:rsidRDefault="000244EE" w:rsidP="000244EE">
      <w:pPr>
        <w:pStyle w:val="ListParagraph"/>
        <w:numPr>
          <w:ilvl w:val="0"/>
          <w:numId w:val="5"/>
        </w:numPr>
        <w:rPr>
          <w:szCs w:val="24"/>
        </w:rPr>
      </w:pPr>
      <w:r w:rsidRPr="000972E7">
        <w:rPr>
          <w:szCs w:val="24"/>
        </w:rPr>
        <w:lastRenderedPageBreak/>
        <w:t>All actions must be agreed by Partner and TU Staff</w:t>
      </w:r>
    </w:p>
    <w:p w14:paraId="1E17C8E7" w14:textId="77777777" w:rsidR="000244EE" w:rsidRDefault="000244EE" w:rsidP="000244EE">
      <w:pPr>
        <w:pStyle w:val="ListParagraph"/>
        <w:rPr>
          <w:sz w:val="22"/>
        </w:rPr>
      </w:pPr>
    </w:p>
    <w:p w14:paraId="7DCCB9AD" w14:textId="27D5626A" w:rsidR="000244EE" w:rsidRPr="000244EE" w:rsidRDefault="000244EE" w:rsidP="000244EE">
      <w:pPr>
        <w:pStyle w:val="ListParagraph"/>
        <w:rPr>
          <w:sz w:val="22"/>
        </w:rPr>
      </w:pPr>
      <w:r w:rsidRPr="000244EE">
        <w:rPr>
          <w:noProof/>
        </w:rPr>
        <w:drawing>
          <wp:inline distT="0" distB="0" distL="0" distR="0" wp14:anchorId="2A609A4F" wp14:editId="740B5109">
            <wp:extent cx="4271459" cy="60480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9611" cy="60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86DDE" w14:textId="77777777" w:rsidR="00C01018" w:rsidRPr="000972E7" w:rsidRDefault="00C01018" w:rsidP="00DF34C4">
      <w:pPr>
        <w:rPr>
          <w:szCs w:val="24"/>
        </w:rPr>
      </w:pPr>
    </w:p>
    <w:p w14:paraId="1D378715" w14:textId="1BF2A574" w:rsidR="00C01018" w:rsidRPr="000972E7" w:rsidRDefault="00C01018" w:rsidP="00C01018">
      <w:pPr>
        <w:pStyle w:val="ListParagraph"/>
        <w:numPr>
          <w:ilvl w:val="0"/>
          <w:numId w:val="1"/>
        </w:numPr>
        <w:rPr>
          <w:b/>
          <w:bCs/>
          <w:color w:val="867537"/>
          <w:szCs w:val="24"/>
        </w:rPr>
      </w:pPr>
      <w:r w:rsidRPr="000972E7">
        <w:rPr>
          <w:b/>
          <w:bCs/>
          <w:color w:val="867537"/>
          <w:szCs w:val="24"/>
        </w:rPr>
        <w:t xml:space="preserve">Action </w:t>
      </w:r>
      <w:r w:rsidR="00DF34C4" w:rsidRPr="000972E7">
        <w:rPr>
          <w:b/>
          <w:bCs/>
          <w:color w:val="867537"/>
          <w:szCs w:val="24"/>
        </w:rPr>
        <w:t>P</w:t>
      </w:r>
      <w:r w:rsidRPr="000972E7">
        <w:rPr>
          <w:b/>
          <w:bCs/>
          <w:color w:val="867537"/>
          <w:szCs w:val="24"/>
        </w:rPr>
        <w:t xml:space="preserve">lanning and </w:t>
      </w:r>
      <w:r w:rsidR="00DF34C4" w:rsidRPr="000972E7">
        <w:rPr>
          <w:b/>
          <w:bCs/>
          <w:color w:val="867537"/>
          <w:szCs w:val="24"/>
        </w:rPr>
        <w:t>A</w:t>
      </w:r>
      <w:r w:rsidRPr="000972E7">
        <w:rPr>
          <w:b/>
          <w:bCs/>
          <w:color w:val="867537"/>
          <w:szCs w:val="24"/>
        </w:rPr>
        <w:t>pproval</w:t>
      </w:r>
    </w:p>
    <w:p w14:paraId="40418768" w14:textId="77777777" w:rsidR="00116C2B" w:rsidRPr="000972E7" w:rsidRDefault="00116C2B" w:rsidP="00116C2B">
      <w:pPr>
        <w:rPr>
          <w:szCs w:val="24"/>
        </w:rPr>
      </w:pPr>
    </w:p>
    <w:p w14:paraId="62C93739" w14:textId="016511A7" w:rsidR="00CE291A" w:rsidRPr="000972E7" w:rsidRDefault="00686AA0" w:rsidP="000972E7">
      <w:pPr>
        <w:pStyle w:val="ListParagraph"/>
        <w:numPr>
          <w:ilvl w:val="0"/>
          <w:numId w:val="12"/>
        </w:numPr>
        <w:rPr>
          <w:szCs w:val="24"/>
        </w:rPr>
      </w:pPr>
      <w:r w:rsidRPr="000972E7">
        <w:rPr>
          <w:szCs w:val="24"/>
        </w:rPr>
        <w:t>Action Planning should be added in from previous years and discussed at the QEV</w:t>
      </w:r>
      <w:r w:rsidR="00836170" w:rsidRPr="000972E7">
        <w:rPr>
          <w:szCs w:val="24"/>
        </w:rPr>
        <w:t xml:space="preserve"> as to resolution and responsibilities</w:t>
      </w:r>
      <w:r w:rsidR="00DF34C4" w:rsidRPr="000972E7">
        <w:rPr>
          <w:szCs w:val="24"/>
        </w:rPr>
        <w:t xml:space="preserve"> for the action</w:t>
      </w:r>
      <w:r w:rsidR="00836170" w:rsidRPr="000972E7">
        <w:rPr>
          <w:szCs w:val="24"/>
        </w:rPr>
        <w:t xml:space="preserve">. </w:t>
      </w:r>
      <w:r w:rsidR="000972E7">
        <w:rPr>
          <w:szCs w:val="24"/>
        </w:rPr>
        <w:t xml:space="preserve"> </w:t>
      </w:r>
      <w:r w:rsidR="00836170" w:rsidRPr="000972E7">
        <w:rPr>
          <w:szCs w:val="24"/>
        </w:rPr>
        <w:t>If action has not been completed this should be moved onto the next year’s agreed actions</w:t>
      </w:r>
      <w:r w:rsidR="00DF34C4" w:rsidRPr="000972E7">
        <w:rPr>
          <w:szCs w:val="24"/>
        </w:rPr>
        <w:t xml:space="preserve"> and a timeline for completion agreed. </w:t>
      </w:r>
    </w:p>
    <w:p w14:paraId="3E03C30F" w14:textId="77777777" w:rsidR="00686AA0" w:rsidRPr="000972E7" w:rsidRDefault="00686AA0" w:rsidP="00686AA0">
      <w:pPr>
        <w:rPr>
          <w:szCs w:val="24"/>
        </w:rPr>
      </w:pPr>
    </w:p>
    <w:p w14:paraId="5B0677EE" w14:textId="7E1EE90E" w:rsidR="00686AA0" w:rsidRPr="000972E7" w:rsidRDefault="00686AA0" w:rsidP="000972E7">
      <w:pPr>
        <w:pStyle w:val="ListParagraph"/>
        <w:numPr>
          <w:ilvl w:val="0"/>
          <w:numId w:val="12"/>
        </w:numPr>
        <w:rPr>
          <w:szCs w:val="24"/>
        </w:rPr>
      </w:pPr>
      <w:r w:rsidRPr="000972E7">
        <w:rPr>
          <w:szCs w:val="24"/>
        </w:rPr>
        <w:t xml:space="preserve">New actions should be agreed and completed on the form. </w:t>
      </w:r>
    </w:p>
    <w:p w14:paraId="46356BC5" w14:textId="77777777" w:rsidR="00836170" w:rsidRPr="000972E7" w:rsidRDefault="00836170" w:rsidP="00836170">
      <w:pPr>
        <w:pStyle w:val="ListParagraph"/>
        <w:rPr>
          <w:szCs w:val="24"/>
        </w:rPr>
      </w:pPr>
    </w:p>
    <w:p w14:paraId="4560FAD0" w14:textId="6AE3FF88" w:rsidR="007245B0" w:rsidRPr="000972E7" w:rsidRDefault="00836170" w:rsidP="000972E7">
      <w:pPr>
        <w:pStyle w:val="ListParagraph"/>
        <w:numPr>
          <w:ilvl w:val="0"/>
          <w:numId w:val="12"/>
        </w:numPr>
        <w:rPr>
          <w:szCs w:val="24"/>
        </w:rPr>
      </w:pPr>
      <w:r w:rsidRPr="00BB6C5B">
        <w:rPr>
          <w:szCs w:val="24"/>
        </w:rPr>
        <w:t xml:space="preserve">Both TU and </w:t>
      </w:r>
      <w:r w:rsidR="002E2246" w:rsidRPr="00BB6C5B">
        <w:rPr>
          <w:szCs w:val="24"/>
        </w:rPr>
        <w:t>P</w:t>
      </w:r>
      <w:r w:rsidRPr="00BB6C5B">
        <w:rPr>
          <w:szCs w:val="24"/>
        </w:rPr>
        <w:t>artner</w:t>
      </w:r>
      <w:r w:rsidRPr="000972E7">
        <w:rPr>
          <w:szCs w:val="24"/>
        </w:rPr>
        <w:t xml:space="preserve"> staff should </w:t>
      </w:r>
      <w:proofErr w:type="gramStart"/>
      <w:r w:rsidRPr="000972E7">
        <w:rPr>
          <w:szCs w:val="24"/>
        </w:rPr>
        <w:t>be in agreement</w:t>
      </w:r>
      <w:proofErr w:type="gramEnd"/>
      <w:r w:rsidRPr="000972E7">
        <w:rPr>
          <w:szCs w:val="24"/>
        </w:rPr>
        <w:t xml:space="preserve"> </w:t>
      </w:r>
      <w:r w:rsidR="002E2246" w:rsidRPr="000972E7">
        <w:rPr>
          <w:szCs w:val="24"/>
        </w:rPr>
        <w:t>with the actions, and these should be circulated afterwards</w:t>
      </w:r>
      <w:r w:rsidR="00AA7B88" w:rsidRPr="000972E7">
        <w:rPr>
          <w:szCs w:val="24"/>
        </w:rPr>
        <w:t xml:space="preserve"> to all involved parties. </w:t>
      </w:r>
    </w:p>
    <w:p w14:paraId="5039BF6F" w14:textId="77777777" w:rsidR="00C0170A" w:rsidRPr="000972E7" w:rsidRDefault="00C0170A" w:rsidP="00C0170A">
      <w:pPr>
        <w:pStyle w:val="ListParagraph"/>
        <w:rPr>
          <w:szCs w:val="24"/>
        </w:rPr>
      </w:pPr>
    </w:p>
    <w:p w14:paraId="59208922" w14:textId="0DB28844" w:rsidR="00C0170A" w:rsidRPr="000972E7" w:rsidRDefault="00E37BEF" w:rsidP="000972E7">
      <w:pPr>
        <w:pStyle w:val="ListParagraph"/>
        <w:numPr>
          <w:ilvl w:val="0"/>
          <w:numId w:val="12"/>
        </w:numPr>
        <w:rPr>
          <w:szCs w:val="24"/>
        </w:rPr>
      </w:pPr>
      <w:r w:rsidRPr="000972E7">
        <w:rPr>
          <w:szCs w:val="24"/>
        </w:rPr>
        <w:t xml:space="preserve">Link Tutors will be invited to SSLESC to present the report (they should be briefed in advance if they did not undertake the visit). </w:t>
      </w:r>
    </w:p>
    <w:p w14:paraId="2DB14D31" w14:textId="77777777" w:rsidR="00E37BEF" w:rsidRPr="000972E7" w:rsidRDefault="00E37BEF" w:rsidP="00E37BEF">
      <w:pPr>
        <w:pStyle w:val="ListParagraph"/>
        <w:rPr>
          <w:szCs w:val="24"/>
        </w:rPr>
      </w:pPr>
    </w:p>
    <w:p w14:paraId="26CE263E" w14:textId="1D62E114" w:rsidR="009777DB" w:rsidRPr="000972E7" w:rsidRDefault="00E37BEF" w:rsidP="000972E7">
      <w:pPr>
        <w:pStyle w:val="ListParagraph"/>
        <w:numPr>
          <w:ilvl w:val="0"/>
          <w:numId w:val="12"/>
        </w:numPr>
        <w:rPr>
          <w:szCs w:val="24"/>
        </w:rPr>
      </w:pPr>
      <w:r w:rsidRPr="000972E7">
        <w:rPr>
          <w:szCs w:val="24"/>
        </w:rPr>
        <w:t xml:space="preserve">Actions will be noted and agreed at </w:t>
      </w:r>
      <w:r w:rsidR="003B1171" w:rsidRPr="000972E7">
        <w:rPr>
          <w:szCs w:val="24"/>
        </w:rPr>
        <w:t>SSLESC,</w:t>
      </w:r>
      <w:r w:rsidRPr="000972E7">
        <w:rPr>
          <w:szCs w:val="24"/>
        </w:rPr>
        <w:t xml:space="preserve"> and the approved reports will be stored on the Link Tutor Network</w:t>
      </w:r>
      <w:r w:rsidR="009777DB" w:rsidRPr="000972E7">
        <w:rPr>
          <w:szCs w:val="24"/>
        </w:rPr>
        <w:t xml:space="preserve"> alongside a template for recording actions. The APR team will populate this. </w:t>
      </w:r>
      <w:r w:rsidR="000972E7">
        <w:rPr>
          <w:szCs w:val="24"/>
        </w:rPr>
        <w:t xml:space="preserve"> </w:t>
      </w:r>
      <w:r w:rsidR="009777DB" w:rsidRPr="000972E7">
        <w:rPr>
          <w:szCs w:val="24"/>
        </w:rPr>
        <w:t>Link Tutors should note when an action is complete.</w:t>
      </w:r>
    </w:p>
    <w:p w14:paraId="4D9DCF72" w14:textId="77777777" w:rsidR="009777DB" w:rsidRPr="009777DB" w:rsidRDefault="009777DB" w:rsidP="009777DB">
      <w:pPr>
        <w:pStyle w:val="ListParagraph"/>
        <w:rPr>
          <w:sz w:val="22"/>
        </w:rPr>
      </w:pPr>
    </w:p>
    <w:p w14:paraId="116D7F8E" w14:textId="6E84D443" w:rsidR="009777DB" w:rsidRDefault="009777DB" w:rsidP="00733034">
      <w:pPr>
        <w:jc w:val="center"/>
        <w:rPr>
          <w:sz w:val="22"/>
        </w:rPr>
      </w:pPr>
      <w:r w:rsidRPr="009777DB">
        <w:rPr>
          <w:noProof/>
          <w:sz w:val="22"/>
        </w:rPr>
        <w:drawing>
          <wp:inline distT="0" distB="0" distL="0" distR="0" wp14:anchorId="66D7B2F5" wp14:editId="24C4FDB8">
            <wp:extent cx="4772775" cy="895350"/>
            <wp:effectExtent l="19050" t="19050" r="2794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1358" cy="896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B780F9" w14:textId="77777777" w:rsidR="009777DB" w:rsidRDefault="009777DB" w:rsidP="009777DB">
      <w:pPr>
        <w:rPr>
          <w:szCs w:val="24"/>
        </w:rPr>
      </w:pPr>
    </w:p>
    <w:p w14:paraId="40F0B919" w14:textId="064A2452" w:rsidR="009777DB" w:rsidRPr="000972E7" w:rsidRDefault="009777DB" w:rsidP="000972E7">
      <w:pPr>
        <w:pStyle w:val="ListParagraph"/>
        <w:numPr>
          <w:ilvl w:val="1"/>
          <w:numId w:val="1"/>
        </w:numPr>
        <w:ind w:left="360"/>
        <w:rPr>
          <w:b/>
          <w:bCs/>
          <w:color w:val="867537"/>
          <w:szCs w:val="24"/>
        </w:rPr>
      </w:pPr>
      <w:r w:rsidRPr="000972E7">
        <w:rPr>
          <w:b/>
          <w:bCs/>
          <w:color w:val="867537"/>
          <w:szCs w:val="24"/>
        </w:rPr>
        <w:t xml:space="preserve">Benefits </w:t>
      </w:r>
      <w:r w:rsidR="009F38F7" w:rsidRPr="000972E7">
        <w:rPr>
          <w:b/>
          <w:bCs/>
          <w:color w:val="867537"/>
          <w:szCs w:val="24"/>
        </w:rPr>
        <w:t>to</w:t>
      </w:r>
      <w:r w:rsidRPr="000972E7">
        <w:rPr>
          <w:b/>
          <w:bCs/>
          <w:color w:val="867537"/>
          <w:szCs w:val="24"/>
        </w:rPr>
        <w:t xml:space="preserve"> the </w:t>
      </w:r>
      <w:r w:rsidR="009F38F7" w:rsidRPr="000972E7">
        <w:rPr>
          <w:b/>
          <w:bCs/>
          <w:color w:val="867537"/>
          <w:szCs w:val="24"/>
        </w:rPr>
        <w:t>E</w:t>
      </w:r>
      <w:r w:rsidRPr="000972E7">
        <w:rPr>
          <w:b/>
          <w:bCs/>
          <w:color w:val="867537"/>
          <w:szCs w:val="24"/>
        </w:rPr>
        <w:t xml:space="preserve">nhancements </w:t>
      </w:r>
    </w:p>
    <w:p w14:paraId="482BBCB5" w14:textId="77777777" w:rsidR="009777DB" w:rsidRPr="009777DB" w:rsidRDefault="009777DB" w:rsidP="009777DB">
      <w:pPr>
        <w:pStyle w:val="ListParagraph"/>
        <w:ind w:left="1800"/>
        <w:rPr>
          <w:b/>
          <w:bCs/>
          <w:color w:val="867537"/>
          <w:sz w:val="22"/>
        </w:rPr>
      </w:pPr>
    </w:p>
    <w:tbl>
      <w:tblPr>
        <w:tblStyle w:val="TableGrid"/>
        <w:tblW w:w="8640" w:type="dxa"/>
        <w:tblInd w:w="355" w:type="dxa"/>
        <w:tblLook w:val="04A0" w:firstRow="1" w:lastRow="0" w:firstColumn="1" w:lastColumn="0" w:noHBand="0" w:noVBand="1"/>
      </w:tblPr>
      <w:tblGrid>
        <w:gridCol w:w="4508"/>
        <w:gridCol w:w="4132"/>
      </w:tblGrid>
      <w:tr w:rsidR="009777DB" w14:paraId="47D89627" w14:textId="77777777" w:rsidTr="00733034">
        <w:tc>
          <w:tcPr>
            <w:tcW w:w="4508" w:type="dxa"/>
          </w:tcPr>
          <w:p w14:paraId="473923BC" w14:textId="71CC203B" w:rsidR="009777DB" w:rsidRPr="009777DB" w:rsidRDefault="009777DB" w:rsidP="00733034">
            <w:pPr>
              <w:rPr>
                <w:b/>
                <w:bCs/>
                <w:sz w:val="22"/>
              </w:rPr>
            </w:pPr>
            <w:r w:rsidRPr="009777DB">
              <w:rPr>
                <w:sz w:val="22"/>
              </w:rPr>
              <w:t xml:space="preserve">Greater collaboration with Link Tutors to provide a consistent service delivery and better use of partner time/resource. </w:t>
            </w:r>
          </w:p>
        </w:tc>
        <w:tc>
          <w:tcPr>
            <w:tcW w:w="4132" w:type="dxa"/>
          </w:tcPr>
          <w:p w14:paraId="761CBF02" w14:textId="1A039B12" w:rsidR="009777DB" w:rsidRDefault="009777DB" w:rsidP="00733034">
            <w:pPr>
              <w:rPr>
                <w:sz w:val="22"/>
              </w:rPr>
            </w:pPr>
            <w:r w:rsidRPr="009777DB">
              <w:rPr>
                <w:sz w:val="22"/>
              </w:rPr>
              <w:t>Grouping of courses to better use resource within the partnership provision.</w:t>
            </w:r>
          </w:p>
        </w:tc>
      </w:tr>
      <w:tr w:rsidR="009777DB" w14:paraId="539C7193" w14:textId="77777777" w:rsidTr="00733034">
        <w:tc>
          <w:tcPr>
            <w:tcW w:w="4508" w:type="dxa"/>
          </w:tcPr>
          <w:p w14:paraId="5DEF5DE4" w14:textId="1760CEB8" w:rsidR="009777DB" w:rsidRDefault="009777DB" w:rsidP="00733034">
            <w:pPr>
              <w:rPr>
                <w:sz w:val="22"/>
              </w:rPr>
            </w:pPr>
            <w:r w:rsidRPr="00B33C95">
              <w:rPr>
                <w:sz w:val="22"/>
              </w:rPr>
              <w:t xml:space="preserve">Link Tutors to be informed and up to date with partner issues via the QEV report and presentation at SSLESC to be able to progress actions in a timely </w:t>
            </w:r>
            <w:r w:rsidR="00ED616E" w:rsidRPr="00B33C95">
              <w:rPr>
                <w:sz w:val="22"/>
              </w:rPr>
              <w:t>manner.</w:t>
            </w:r>
          </w:p>
        </w:tc>
        <w:tc>
          <w:tcPr>
            <w:tcW w:w="4132" w:type="dxa"/>
          </w:tcPr>
          <w:p w14:paraId="6F31279A" w14:textId="2A7B882A" w:rsidR="009777DB" w:rsidRPr="009777DB" w:rsidRDefault="009777DB" w:rsidP="009777DB">
            <w:pPr>
              <w:rPr>
                <w:sz w:val="22"/>
              </w:rPr>
            </w:pPr>
            <w:r w:rsidRPr="009777DB">
              <w:rPr>
                <w:sz w:val="22"/>
              </w:rPr>
              <w:t xml:space="preserve">A more cohesive approach to tracking and ensure that partnership provision is adhering to TU processes </w:t>
            </w:r>
            <w:r w:rsidR="000972E7" w:rsidRPr="009777DB">
              <w:rPr>
                <w:sz w:val="22"/>
              </w:rPr>
              <w:t>i.e.</w:t>
            </w:r>
            <w:r w:rsidR="000972E7">
              <w:rPr>
                <w:sz w:val="22"/>
              </w:rPr>
              <w:t>,</w:t>
            </w:r>
            <w:r w:rsidRPr="009777DB">
              <w:rPr>
                <w:sz w:val="22"/>
              </w:rPr>
              <w:t xml:space="preserve"> CME.</w:t>
            </w:r>
          </w:p>
          <w:p w14:paraId="42F1DC47" w14:textId="77777777" w:rsidR="009777DB" w:rsidRDefault="009777DB" w:rsidP="009777DB">
            <w:pPr>
              <w:rPr>
                <w:sz w:val="22"/>
              </w:rPr>
            </w:pPr>
          </w:p>
        </w:tc>
      </w:tr>
      <w:tr w:rsidR="009777DB" w14:paraId="0EAEC32D" w14:textId="77777777" w:rsidTr="00733034">
        <w:tc>
          <w:tcPr>
            <w:tcW w:w="4508" w:type="dxa"/>
          </w:tcPr>
          <w:p w14:paraId="51DB6F8B" w14:textId="77E71FC3" w:rsidR="009777DB" w:rsidRDefault="009777DB" w:rsidP="00733034">
            <w:pPr>
              <w:rPr>
                <w:sz w:val="22"/>
              </w:rPr>
            </w:pPr>
            <w:r w:rsidRPr="009777DB">
              <w:rPr>
                <w:sz w:val="22"/>
              </w:rPr>
              <w:t>A more useful summary of quality at partnership provision via</w:t>
            </w:r>
            <w:r w:rsidR="00ED616E">
              <w:rPr>
                <w:sz w:val="22"/>
              </w:rPr>
              <w:t xml:space="preserve"> the</w:t>
            </w:r>
            <w:r w:rsidRPr="009777DB">
              <w:rPr>
                <w:sz w:val="22"/>
              </w:rPr>
              <w:t xml:space="preserve"> Partnership Quality Assurance Annual Review – in case of audits such as OfS.</w:t>
            </w:r>
          </w:p>
        </w:tc>
        <w:tc>
          <w:tcPr>
            <w:tcW w:w="4132" w:type="dxa"/>
          </w:tcPr>
          <w:p w14:paraId="2127D1EE" w14:textId="77777777" w:rsidR="009777DB" w:rsidRPr="009777DB" w:rsidRDefault="009777DB" w:rsidP="009777DB">
            <w:pPr>
              <w:rPr>
                <w:sz w:val="22"/>
              </w:rPr>
            </w:pPr>
            <w:r w:rsidRPr="009777DB">
              <w:rPr>
                <w:sz w:val="22"/>
              </w:rPr>
              <w:t xml:space="preserve">Clearer action planning and closing of the loop regarding actions to be taken. </w:t>
            </w:r>
          </w:p>
          <w:p w14:paraId="6A5309E0" w14:textId="77777777" w:rsidR="009777DB" w:rsidRDefault="009777DB" w:rsidP="009777DB">
            <w:pPr>
              <w:rPr>
                <w:sz w:val="22"/>
              </w:rPr>
            </w:pPr>
          </w:p>
        </w:tc>
      </w:tr>
    </w:tbl>
    <w:p w14:paraId="05A797C2" w14:textId="77777777" w:rsidR="00C0170A" w:rsidRPr="000972E7" w:rsidRDefault="00C0170A" w:rsidP="00C01018">
      <w:pPr>
        <w:pStyle w:val="ListParagraph"/>
        <w:rPr>
          <w:szCs w:val="24"/>
        </w:rPr>
      </w:pPr>
    </w:p>
    <w:p w14:paraId="1E9539E8" w14:textId="77777777" w:rsidR="009777DB" w:rsidRDefault="009777DB" w:rsidP="00C01018">
      <w:pPr>
        <w:pStyle w:val="ListParagraph"/>
        <w:rPr>
          <w:szCs w:val="24"/>
        </w:rPr>
      </w:pPr>
    </w:p>
    <w:p w14:paraId="26075A3B" w14:textId="77777777" w:rsidR="00733034" w:rsidRDefault="00733034" w:rsidP="00C01018">
      <w:pPr>
        <w:pStyle w:val="ListParagraph"/>
        <w:rPr>
          <w:szCs w:val="24"/>
        </w:rPr>
      </w:pPr>
    </w:p>
    <w:p w14:paraId="1490FE7E" w14:textId="77777777" w:rsidR="00733034" w:rsidRDefault="00733034" w:rsidP="00C01018">
      <w:pPr>
        <w:pStyle w:val="ListParagraph"/>
        <w:rPr>
          <w:szCs w:val="24"/>
        </w:rPr>
      </w:pPr>
    </w:p>
    <w:p w14:paraId="58085A90" w14:textId="77777777" w:rsidR="00733034" w:rsidRDefault="00733034" w:rsidP="00C01018">
      <w:pPr>
        <w:pStyle w:val="ListParagraph"/>
        <w:rPr>
          <w:szCs w:val="24"/>
        </w:rPr>
      </w:pPr>
    </w:p>
    <w:p w14:paraId="1E8D8FBD" w14:textId="54D781D3" w:rsidR="00C01018" w:rsidRPr="000972E7" w:rsidRDefault="00C01018" w:rsidP="009777DB">
      <w:pPr>
        <w:pStyle w:val="ListParagraph"/>
        <w:numPr>
          <w:ilvl w:val="0"/>
          <w:numId w:val="1"/>
        </w:numPr>
        <w:rPr>
          <w:b/>
          <w:bCs/>
          <w:color w:val="867537"/>
          <w:szCs w:val="24"/>
        </w:rPr>
      </w:pPr>
      <w:r w:rsidRPr="000972E7">
        <w:rPr>
          <w:b/>
          <w:bCs/>
          <w:color w:val="867537"/>
          <w:szCs w:val="24"/>
        </w:rPr>
        <w:lastRenderedPageBreak/>
        <w:t>Timeline/Responsibility</w:t>
      </w:r>
    </w:p>
    <w:p w14:paraId="7E97B7D3" w14:textId="77777777" w:rsidR="003B1171" w:rsidRDefault="003B1171" w:rsidP="003B1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2784"/>
      </w:tblGrid>
      <w:tr w:rsidR="003B1171" w:rsidRPr="00A86668" w14:paraId="1F6C3EC5" w14:textId="77777777" w:rsidTr="00DF5DE8">
        <w:tc>
          <w:tcPr>
            <w:tcW w:w="2263" w:type="dxa"/>
          </w:tcPr>
          <w:p w14:paraId="1D7419DB" w14:textId="77777777" w:rsidR="003B1171" w:rsidRPr="00A86668" w:rsidRDefault="003B1171" w:rsidP="00DF5DE8">
            <w:pPr>
              <w:rPr>
                <w:b/>
                <w:bCs/>
                <w:sz w:val="22"/>
              </w:rPr>
            </w:pPr>
            <w:r w:rsidRPr="00A86668">
              <w:rPr>
                <w:b/>
                <w:bCs/>
                <w:sz w:val="22"/>
              </w:rPr>
              <w:t>Month</w:t>
            </w:r>
          </w:p>
        </w:tc>
        <w:tc>
          <w:tcPr>
            <w:tcW w:w="3969" w:type="dxa"/>
          </w:tcPr>
          <w:p w14:paraId="0A10B84F" w14:textId="77777777" w:rsidR="003B1171" w:rsidRPr="00A86668" w:rsidRDefault="003B1171" w:rsidP="00DF5DE8">
            <w:pPr>
              <w:rPr>
                <w:b/>
                <w:bCs/>
                <w:sz w:val="22"/>
              </w:rPr>
            </w:pPr>
            <w:r w:rsidRPr="00A86668">
              <w:rPr>
                <w:b/>
                <w:bCs/>
                <w:sz w:val="22"/>
              </w:rPr>
              <w:t>Activity</w:t>
            </w:r>
          </w:p>
        </w:tc>
        <w:tc>
          <w:tcPr>
            <w:tcW w:w="2784" w:type="dxa"/>
          </w:tcPr>
          <w:p w14:paraId="3E7B68B2" w14:textId="77777777" w:rsidR="003B1171" w:rsidRPr="00A86668" w:rsidRDefault="003B1171" w:rsidP="00DF5DE8">
            <w:pPr>
              <w:rPr>
                <w:b/>
                <w:bCs/>
                <w:sz w:val="22"/>
              </w:rPr>
            </w:pPr>
            <w:r w:rsidRPr="00A86668">
              <w:rPr>
                <w:b/>
                <w:bCs/>
                <w:sz w:val="22"/>
              </w:rPr>
              <w:t>Responsibility</w:t>
            </w:r>
          </w:p>
        </w:tc>
      </w:tr>
      <w:tr w:rsidR="003B1171" w:rsidRPr="00A86668" w14:paraId="37127C14" w14:textId="77777777" w:rsidTr="00DF5DE8">
        <w:tc>
          <w:tcPr>
            <w:tcW w:w="2263" w:type="dxa"/>
          </w:tcPr>
          <w:p w14:paraId="16B0D7B2" w14:textId="03573E1E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August</w:t>
            </w:r>
            <w:r>
              <w:rPr>
                <w:sz w:val="22"/>
              </w:rPr>
              <w:t xml:space="preserve"> – mid </w:t>
            </w:r>
            <w:r w:rsidRPr="00A86668">
              <w:rPr>
                <w:sz w:val="22"/>
              </w:rPr>
              <w:t xml:space="preserve">September </w:t>
            </w:r>
          </w:p>
        </w:tc>
        <w:tc>
          <w:tcPr>
            <w:tcW w:w="3969" w:type="dxa"/>
          </w:tcPr>
          <w:p w14:paraId="194F901F" w14:textId="650EDAB0" w:rsidR="003B1171" w:rsidRPr="00A86668" w:rsidRDefault="003B1171" w:rsidP="00DF5DE8">
            <w:pPr>
              <w:rPr>
                <w:sz w:val="22"/>
              </w:rPr>
            </w:pPr>
            <w:r>
              <w:rPr>
                <w:sz w:val="22"/>
              </w:rPr>
              <w:t xml:space="preserve">Deadline for previous academic year QEV reports. </w:t>
            </w:r>
            <w:r w:rsidRPr="00A86668">
              <w:rPr>
                <w:sz w:val="22"/>
              </w:rPr>
              <w:t xml:space="preserve"> </w:t>
            </w:r>
          </w:p>
        </w:tc>
        <w:tc>
          <w:tcPr>
            <w:tcW w:w="2784" w:type="dxa"/>
          </w:tcPr>
          <w:p w14:paraId="1405A187" w14:textId="08CE9FA0" w:rsidR="003B1171" w:rsidRPr="00A86668" w:rsidRDefault="003B1171" w:rsidP="00525D26">
            <w:pPr>
              <w:shd w:val="clear" w:color="auto" w:fill="BDD6EE" w:themeFill="accent1" w:themeFillTint="66"/>
              <w:rPr>
                <w:sz w:val="22"/>
              </w:rPr>
            </w:pPr>
            <w:r>
              <w:rPr>
                <w:sz w:val="22"/>
              </w:rPr>
              <w:t>Schools</w:t>
            </w:r>
          </w:p>
        </w:tc>
      </w:tr>
      <w:tr w:rsidR="003B1171" w:rsidRPr="00A86668" w14:paraId="639A85D3" w14:textId="77777777" w:rsidTr="005520A1">
        <w:tc>
          <w:tcPr>
            <w:tcW w:w="2263" w:type="dxa"/>
            <w:shd w:val="clear" w:color="auto" w:fill="FFF2CC" w:themeFill="accent4" w:themeFillTint="33"/>
          </w:tcPr>
          <w:p w14:paraId="5B2EE268" w14:textId="77777777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 xml:space="preserve">September – March 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30B09323" w14:textId="77777777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CPD - Undertaking an Effective QEV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01097A03" w14:textId="2A4280A3" w:rsidR="003B1171" w:rsidRPr="00A86668" w:rsidRDefault="00EA268B" w:rsidP="00DF5DE8">
            <w:pPr>
              <w:rPr>
                <w:sz w:val="22"/>
              </w:rPr>
            </w:pPr>
            <w:r>
              <w:rPr>
                <w:sz w:val="22"/>
              </w:rPr>
              <w:t>Partnership &amp; Project Manager (ACD)/</w:t>
            </w:r>
            <w:r w:rsidR="003B1171" w:rsidRPr="00A86668">
              <w:rPr>
                <w:sz w:val="22"/>
              </w:rPr>
              <w:t>Link Tutors</w:t>
            </w:r>
          </w:p>
        </w:tc>
      </w:tr>
      <w:tr w:rsidR="003B1171" w:rsidRPr="00A86668" w14:paraId="2F7CC3B7" w14:textId="77777777" w:rsidTr="00DF5DE8">
        <w:tc>
          <w:tcPr>
            <w:tcW w:w="2263" w:type="dxa"/>
          </w:tcPr>
          <w:p w14:paraId="3A0CED75" w14:textId="339BEF0C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 xml:space="preserve">September/October </w:t>
            </w:r>
          </w:p>
        </w:tc>
        <w:tc>
          <w:tcPr>
            <w:tcW w:w="3969" w:type="dxa"/>
          </w:tcPr>
          <w:p w14:paraId="07DD45AA" w14:textId="6E8D7162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 xml:space="preserve">Upload </w:t>
            </w:r>
            <w:r w:rsidR="00CA5510">
              <w:rPr>
                <w:sz w:val="22"/>
              </w:rPr>
              <w:t xml:space="preserve">tracker </w:t>
            </w:r>
            <w:r w:rsidRPr="00A86668">
              <w:rPr>
                <w:sz w:val="22"/>
              </w:rPr>
              <w:t>to Link Tutor site to inform of which QEV’s need to be undertake</w:t>
            </w:r>
            <w:r w:rsidR="008577A3">
              <w:rPr>
                <w:sz w:val="22"/>
              </w:rPr>
              <w:t>n</w:t>
            </w:r>
            <w:r w:rsidRPr="00A86668">
              <w:rPr>
                <w:sz w:val="22"/>
              </w:rPr>
              <w:t xml:space="preserve">.  </w:t>
            </w:r>
          </w:p>
        </w:tc>
        <w:tc>
          <w:tcPr>
            <w:tcW w:w="2784" w:type="dxa"/>
          </w:tcPr>
          <w:p w14:paraId="6DAD615B" w14:textId="5403D927" w:rsidR="003B1171" w:rsidRPr="00A86668" w:rsidRDefault="00EA268B" w:rsidP="00525D26">
            <w:pPr>
              <w:shd w:val="clear" w:color="auto" w:fill="E2EFD9" w:themeFill="accent6" w:themeFillTint="33"/>
              <w:rPr>
                <w:sz w:val="22"/>
              </w:rPr>
            </w:pPr>
            <w:r>
              <w:rPr>
                <w:sz w:val="22"/>
              </w:rPr>
              <w:t>Partnership &amp; Project Manager (ACD)</w:t>
            </w:r>
          </w:p>
        </w:tc>
      </w:tr>
      <w:tr w:rsidR="003B1171" w:rsidRPr="00A86668" w14:paraId="3E9A7337" w14:textId="77777777" w:rsidTr="00525D26">
        <w:tc>
          <w:tcPr>
            <w:tcW w:w="2263" w:type="dxa"/>
          </w:tcPr>
          <w:p w14:paraId="606D0D6F" w14:textId="11F22AF2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 xml:space="preserve">October </w:t>
            </w:r>
          </w:p>
        </w:tc>
        <w:tc>
          <w:tcPr>
            <w:tcW w:w="3969" w:type="dxa"/>
          </w:tcPr>
          <w:p w14:paraId="52A93FE1" w14:textId="77777777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 xml:space="preserve">Present 23/24 Partnership Quality Assurance Annual Review to SLEC for approval. </w:t>
            </w:r>
          </w:p>
        </w:tc>
        <w:tc>
          <w:tcPr>
            <w:tcW w:w="2784" w:type="dxa"/>
            <w:shd w:val="clear" w:color="auto" w:fill="E2EFD9" w:themeFill="accent6" w:themeFillTint="33"/>
          </w:tcPr>
          <w:p w14:paraId="42046B70" w14:textId="508EA803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A</w:t>
            </w:r>
            <w:r w:rsidR="00EA268B">
              <w:rPr>
                <w:sz w:val="22"/>
              </w:rPr>
              <w:t>ssistant Academic Registrar (QAV)</w:t>
            </w:r>
          </w:p>
        </w:tc>
      </w:tr>
      <w:tr w:rsidR="003B1171" w:rsidRPr="00A86668" w14:paraId="15FB17DC" w14:textId="77777777" w:rsidTr="00525D26">
        <w:tc>
          <w:tcPr>
            <w:tcW w:w="2263" w:type="dxa"/>
          </w:tcPr>
          <w:p w14:paraId="4642E26A" w14:textId="7567205E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October</w:t>
            </w:r>
          </w:p>
        </w:tc>
        <w:tc>
          <w:tcPr>
            <w:tcW w:w="3969" w:type="dxa"/>
          </w:tcPr>
          <w:p w14:paraId="0EF4E9C2" w14:textId="77777777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Reminder to Schools and Link Tutors (via Link Tutor Network) re SSLESC dates for QEV report approvals.</w:t>
            </w:r>
          </w:p>
        </w:tc>
        <w:tc>
          <w:tcPr>
            <w:tcW w:w="2784" w:type="dxa"/>
            <w:shd w:val="clear" w:color="auto" w:fill="E2EFD9" w:themeFill="accent6" w:themeFillTint="33"/>
          </w:tcPr>
          <w:p w14:paraId="6888E54D" w14:textId="5926B061" w:rsidR="00EA268B" w:rsidRPr="00A86668" w:rsidRDefault="00EA268B" w:rsidP="00EA268B">
            <w:pPr>
              <w:rPr>
                <w:sz w:val="22"/>
              </w:rPr>
            </w:pPr>
            <w:r>
              <w:rPr>
                <w:sz w:val="22"/>
              </w:rPr>
              <w:t>Partnership &amp; Project Manager (ACD)</w:t>
            </w:r>
          </w:p>
          <w:p w14:paraId="10F4AF70" w14:textId="44E02CDE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 xml:space="preserve">APR </w:t>
            </w:r>
            <w:r w:rsidR="00EA268B">
              <w:rPr>
                <w:sz w:val="22"/>
              </w:rPr>
              <w:t>(SLAR)</w:t>
            </w:r>
          </w:p>
        </w:tc>
      </w:tr>
      <w:tr w:rsidR="003B1171" w:rsidRPr="00A86668" w14:paraId="5CCE2808" w14:textId="77777777" w:rsidTr="00DF5DE8">
        <w:tc>
          <w:tcPr>
            <w:tcW w:w="2263" w:type="dxa"/>
          </w:tcPr>
          <w:p w14:paraId="5CCF00ED" w14:textId="443719B2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November</w:t>
            </w:r>
            <w:r w:rsidR="008577A3">
              <w:rPr>
                <w:sz w:val="22"/>
              </w:rPr>
              <w:t xml:space="preserve"> </w:t>
            </w:r>
            <w:r w:rsidRPr="00A86668">
              <w:rPr>
                <w:sz w:val="22"/>
              </w:rPr>
              <w:t>onwards</w:t>
            </w:r>
          </w:p>
        </w:tc>
        <w:tc>
          <w:tcPr>
            <w:tcW w:w="3969" w:type="dxa"/>
          </w:tcPr>
          <w:p w14:paraId="0C63722C" w14:textId="76DC6C73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 xml:space="preserve">QEVs begin to take place for </w:t>
            </w:r>
            <w:r w:rsidR="008577A3" w:rsidRPr="008577A3">
              <w:rPr>
                <w:b/>
                <w:bCs/>
                <w:sz w:val="22"/>
              </w:rPr>
              <w:t xml:space="preserve">current </w:t>
            </w:r>
            <w:r w:rsidRPr="00A86668">
              <w:rPr>
                <w:sz w:val="22"/>
              </w:rPr>
              <w:t xml:space="preserve">academic year. </w:t>
            </w:r>
          </w:p>
          <w:p w14:paraId="5E1FAEF1" w14:textId="77777777" w:rsidR="003B1171" w:rsidRPr="00A86668" w:rsidRDefault="003B1171" w:rsidP="00DF5DE8">
            <w:pPr>
              <w:rPr>
                <w:sz w:val="22"/>
              </w:rPr>
            </w:pPr>
          </w:p>
        </w:tc>
        <w:tc>
          <w:tcPr>
            <w:tcW w:w="2784" w:type="dxa"/>
          </w:tcPr>
          <w:p w14:paraId="00872CCB" w14:textId="77777777" w:rsidR="003B1171" w:rsidRPr="00A86668" w:rsidRDefault="003B1171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School Link Tutors</w:t>
            </w:r>
          </w:p>
        </w:tc>
      </w:tr>
      <w:tr w:rsidR="008577A3" w:rsidRPr="00A86668" w14:paraId="17B3DDFC" w14:textId="77777777" w:rsidTr="00525D26">
        <w:trPr>
          <w:trHeight w:val="769"/>
        </w:trPr>
        <w:tc>
          <w:tcPr>
            <w:tcW w:w="2263" w:type="dxa"/>
          </w:tcPr>
          <w:p w14:paraId="7D0498EE" w14:textId="26FBE771" w:rsidR="008577A3" w:rsidRPr="00A86668" w:rsidRDefault="008577A3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February</w:t>
            </w:r>
            <w:r>
              <w:rPr>
                <w:sz w:val="22"/>
              </w:rPr>
              <w:t xml:space="preserve"> and May</w:t>
            </w:r>
          </w:p>
          <w:p w14:paraId="346BECB4" w14:textId="28EA8EBA" w:rsidR="008577A3" w:rsidRPr="00A86668" w:rsidRDefault="008577A3" w:rsidP="00DF5DE8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6856697F" w14:textId="77777777" w:rsidR="008577A3" w:rsidRPr="00A86668" w:rsidRDefault="008577A3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Further reminder to Link Tutors for completion.</w:t>
            </w:r>
          </w:p>
          <w:p w14:paraId="2B64942D" w14:textId="4DC61419" w:rsidR="008577A3" w:rsidRPr="00A86668" w:rsidRDefault="008577A3" w:rsidP="00DF5DE8">
            <w:pPr>
              <w:rPr>
                <w:sz w:val="22"/>
              </w:rPr>
            </w:pPr>
          </w:p>
        </w:tc>
        <w:tc>
          <w:tcPr>
            <w:tcW w:w="2784" w:type="dxa"/>
            <w:shd w:val="clear" w:color="auto" w:fill="E2EFD9" w:themeFill="accent6" w:themeFillTint="33"/>
          </w:tcPr>
          <w:p w14:paraId="4C955392" w14:textId="5F5E6F49" w:rsidR="008577A3" w:rsidRPr="00A86668" w:rsidRDefault="00EA268B" w:rsidP="008577A3">
            <w:pPr>
              <w:rPr>
                <w:sz w:val="22"/>
              </w:rPr>
            </w:pPr>
            <w:r>
              <w:rPr>
                <w:sz w:val="22"/>
              </w:rPr>
              <w:t>Partnership &amp; Project Manager (ACD)</w:t>
            </w:r>
          </w:p>
        </w:tc>
      </w:tr>
      <w:tr w:rsidR="008577A3" w:rsidRPr="00A86668" w14:paraId="5F965730" w14:textId="77777777" w:rsidTr="00DF5DE8">
        <w:tc>
          <w:tcPr>
            <w:tcW w:w="2263" w:type="dxa"/>
          </w:tcPr>
          <w:p w14:paraId="08B703DD" w14:textId="77777777" w:rsidR="008577A3" w:rsidRPr="00A86668" w:rsidRDefault="008577A3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 xml:space="preserve">June/July </w:t>
            </w:r>
          </w:p>
        </w:tc>
        <w:tc>
          <w:tcPr>
            <w:tcW w:w="3969" w:type="dxa"/>
          </w:tcPr>
          <w:p w14:paraId="69DE5BAB" w14:textId="77777777" w:rsidR="008577A3" w:rsidRPr="00A86668" w:rsidRDefault="008577A3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Final opportunity for 24/25 QEV reports to be approved at SSLESC meetings.</w:t>
            </w:r>
          </w:p>
          <w:p w14:paraId="701BFD70" w14:textId="5B290599" w:rsidR="008577A3" w:rsidRPr="008577A3" w:rsidRDefault="008577A3" w:rsidP="00DF5DE8">
            <w:pPr>
              <w:rPr>
                <w:i/>
                <w:iCs/>
                <w:sz w:val="22"/>
              </w:rPr>
            </w:pPr>
            <w:r w:rsidRPr="00733034">
              <w:rPr>
                <w:i/>
                <w:iCs/>
                <w:sz w:val="20"/>
                <w:szCs w:val="20"/>
              </w:rPr>
              <w:t xml:space="preserve">This would include May intakes where possible. </w:t>
            </w:r>
          </w:p>
        </w:tc>
        <w:tc>
          <w:tcPr>
            <w:tcW w:w="2784" w:type="dxa"/>
          </w:tcPr>
          <w:p w14:paraId="38449332" w14:textId="305FF1D8" w:rsidR="00525D26" w:rsidRDefault="008577A3" w:rsidP="00525D26">
            <w:pPr>
              <w:shd w:val="clear" w:color="auto" w:fill="E2EFD9" w:themeFill="accent6" w:themeFillTint="33"/>
              <w:rPr>
                <w:sz w:val="22"/>
              </w:rPr>
            </w:pPr>
            <w:r w:rsidRPr="00A86668">
              <w:rPr>
                <w:caps/>
                <w:sz w:val="22"/>
              </w:rPr>
              <w:t>APR</w:t>
            </w:r>
          </w:p>
          <w:p w14:paraId="52FD6EF4" w14:textId="53D1F22D" w:rsidR="008577A3" w:rsidRPr="00A86668" w:rsidRDefault="00EA268B" w:rsidP="00525D26">
            <w:pPr>
              <w:shd w:val="clear" w:color="auto" w:fill="BDD6EE" w:themeFill="accent1" w:themeFillTint="66"/>
              <w:rPr>
                <w:caps/>
                <w:sz w:val="22"/>
              </w:rPr>
            </w:pPr>
            <w:r w:rsidRPr="00A86668">
              <w:rPr>
                <w:sz w:val="22"/>
              </w:rPr>
              <w:t>School Link Tutors</w:t>
            </w:r>
          </w:p>
        </w:tc>
      </w:tr>
      <w:tr w:rsidR="008577A3" w:rsidRPr="00A86668" w14:paraId="29E66DC9" w14:textId="77777777" w:rsidTr="00525D26">
        <w:tc>
          <w:tcPr>
            <w:tcW w:w="2263" w:type="dxa"/>
          </w:tcPr>
          <w:p w14:paraId="259BB065" w14:textId="77777777" w:rsidR="008577A3" w:rsidRPr="00A86668" w:rsidRDefault="008577A3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June/July</w:t>
            </w:r>
          </w:p>
          <w:p w14:paraId="60CAD201" w14:textId="77777777" w:rsidR="008577A3" w:rsidRPr="00A86668" w:rsidRDefault="008577A3" w:rsidP="00DF5DE8">
            <w:pPr>
              <w:rPr>
                <w:sz w:val="22"/>
              </w:rPr>
            </w:pPr>
          </w:p>
          <w:p w14:paraId="5FE75CDC" w14:textId="77777777" w:rsidR="008577A3" w:rsidRPr="00A86668" w:rsidRDefault="008577A3" w:rsidP="00DF5DE8">
            <w:pPr>
              <w:rPr>
                <w:sz w:val="22"/>
              </w:rPr>
            </w:pPr>
          </w:p>
          <w:p w14:paraId="49E23E5C" w14:textId="77777777" w:rsidR="008577A3" w:rsidRPr="00A86668" w:rsidRDefault="008577A3" w:rsidP="00DF5DE8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2DF44A08" w14:textId="0DAA591A" w:rsidR="008577A3" w:rsidRPr="00A86668" w:rsidRDefault="008577A3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Populate Partnership Quality Assurance Annual Review spreadsheet with 24/25 outcomes from QEV reports.</w:t>
            </w:r>
          </w:p>
        </w:tc>
        <w:tc>
          <w:tcPr>
            <w:tcW w:w="2784" w:type="dxa"/>
            <w:shd w:val="clear" w:color="auto" w:fill="E2EFD9" w:themeFill="accent6" w:themeFillTint="33"/>
          </w:tcPr>
          <w:p w14:paraId="5EBE1CD4" w14:textId="2DF4D00F" w:rsidR="008577A3" w:rsidRPr="00A86668" w:rsidRDefault="008577A3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>Q</w:t>
            </w:r>
            <w:r w:rsidR="00EA268B">
              <w:rPr>
                <w:sz w:val="22"/>
              </w:rPr>
              <w:t xml:space="preserve">uality </w:t>
            </w:r>
            <w:r w:rsidRPr="00A86668">
              <w:rPr>
                <w:sz w:val="22"/>
              </w:rPr>
              <w:t>M</w:t>
            </w:r>
            <w:r w:rsidR="00EA268B">
              <w:rPr>
                <w:sz w:val="22"/>
              </w:rPr>
              <w:t>anager</w:t>
            </w:r>
            <w:r w:rsidRPr="00A86668">
              <w:rPr>
                <w:sz w:val="22"/>
              </w:rPr>
              <w:t xml:space="preserve"> </w:t>
            </w:r>
            <w:r w:rsidR="00EA268B">
              <w:rPr>
                <w:sz w:val="22"/>
              </w:rPr>
              <w:t>(</w:t>
            </w:r>
            <w:r w:rsidRPr="00A86668">
              <w:rPr>
                <w:sz w:val="22"/>
              </w:rPr>
              <w:t>QAV</w:t>
            </w:r>
            <w:r w:rsidR="00EA268B">
              <w:rPr>
                <w:sz w:val="22"/>
              </w:rPr>
              <w:t>)</w:t>
            </w:r>
          </w:p>
          <w:p w14:paraId="0FC8EADA" w14:textId="2DDDE6E7" w:rsidR="008577A3" w:rsidRPr="00A86668" w:rsidRDefault="00EA268B" w:rsidP="00DF5DE8">
            <w:pPr>
              <w:rPr>
                <w:sz w:val="22"/>
              </w:rPr>
            </w:pPr>
            <w:r>
              <w:rPr>
                <w:sz w:val="22"/>
              </w:rPr>
              <w:t>Partnership &amp; Project Manager (ACD)</w:t>
            </w:r>
          </w:p>
        </w:tc>
      </w:tr>
      <w:tr w:rsidR="008577A3" w:rsidRPr="00A86668" w14:paraId="5E699412" w14:textId="77777777" w:rsidTr="00525D26">
        <w:tc>
          <w:tcPr>
            <w:tcW w:w="2263" w:type="dxa"/>
          </w:tcPr>
          <w:p w14:paraId="080E8187" w14:textId="7D73FE0D" w:rsidR="008577A3" w:rsidRPr="00A86668" w:rsidRDefault="008577A3" w:rsidP="00DF5DE8">
            <w:pPr>
              <w:rPr>
                <w:sz w:val="22"/>
              </w:rPr>
            </w:pPr>
            <w:r w:rsidRPr="00A86668">
              <w:rPr>
                <w:sz w:val="22"/>
              </w:rPr>
              <w:t xml:space="preserve">August </w:t>
            </w:r>
            <w:r>
              <w:rPr>
                <w:sz w:val="22"/>
              </w:rPr>
              <w:t xml:space="preserve">– mid September </w:t>
            </w:r>
          </w:p>
        </w:tc>
        <w:tc>
          <w:tcPr>
            <w:tcW w:w="3969" w:type="dxa"/>
          </w:tcPr>
          <w:p w14:paraId="22225272" w14:textId="32D04237" w:rsidR="008577A3" w:rsidRPr="008577A3" w:rsidRDefault="008577A3" w:rsidP="00DF5DE8">
            <w:pPr>
              <w:rPr>
                <w:sz w:val="22"/>
              </w:rPr>
            </w:pPr>
            <w:r w:rsidRPr="008577A3">
              <w:rPr>
                <w:sz w:val="20"/>
                <w:szCs w:val="20"/>
              </w:rPr>
              <w:t xml:space="preserve">Any outstanding reports plus June/July delivery must be presented </w:t>
            </w:r>
            <w:proofErr w:type="gramStart"/>
            <w:r w:rsidRPr="008577A3">
              <w:rPr>
                <w:sz w:val="20"/>
                <w:szCs w:val="20"/>
              </w:rPr>
              <w:t>at</w:t>
            </w:r>
            <w:proofErr w:type="gramEnd"/>
            <w:r w:rsidRPr="008577A3">
              <w:rPr>
                <w:sz w:val="20"/>
                <w:szCs w:val="20"/>
              </w:rPr>
              <w:t xml:space="preserve"> September SSLESC at the latest.  </w:t>
            </w:r>
          </w:p>
        </w:tc>
        <w:tc>
          <w:tcPr>
            <w:tcW w:w="2784" w:type="dxa"/>
            <w:shd w:val="clear" w:color="auto" w:fill="BDD6EE" w:themeFill="accent1" w:themeFillTint="66"/>
          </w:tcPr>
          <w:p w14:paraId="357180DE" w14:textId="2211125C" w:rsidR="008577A3" w:rsidRPr="00A86668" w:rsidRDefault="00EA268B" w:rsidP="00DF5DE8">
            <w:pPr>
              <w:rPr>
                <w:caps/>
                <w:sz w:val="22"/>
              </w:rPr>
            </w:pPr>
            <w:r w:rsidRPr="00A86668">
              <w:rPr>
                <w:sz w:val="22"/>
              </w:rPr>
              <w:t>School Link Tutors</w:t>
            </w:r>
          </w:p>
        </w:tc>
      </w:tr>
    </w:tbl>
    <w:p w14:paraId="2F794AFF" w14:textId="1E467EFD" w:rsidR="00CA5510" w:rsidRPr="005520A1" w:rsidRDefault="00CA5510" w:rsidP="007245B0">
      <w:pPr>
        <w:rPr>
          <w:b/>
          <w:bCs/>
          <w:sz w:val="22"/>
        </w:rPr>
      </w:pPr>
    </w:p>
    <w:p w14:paraId="785F26ED" w14:textId="26E81EAE" w:rsidR="00EA268B" w:rsidRPr="005520A1" w:rsidRDefault="00EA268B" w:rsidP="00525D26">
      <w:pPr>
        <w:rPr>
          <w:b/>
          <w:bCs/>
          <w:sz w:val="22"/>
        </w:rPr>
      </w:pPr>
      <w:r w:rsidRPr="005520A1">
        <w:rPr>
          <w:b/>
          <w:bCs/>
          <w:sz w:val="22"/>
        </w:rPr>
        <w:t>KEY for Responsibility</w:t>
      </w:r>
    </w:p>
    <w:p w14:paraId="02D1CCEE" w14:textId="14FCA36D" w:rsidR="00EA268B" w:rsidRDefault="00525D26" w:rsidP="007245B0">
      <w:pPr>
        <w:rPr>
          <w:sz w:val="22"/>
        </w:rPr>
      </w:pPr>
      <w:r w:rsidRPr="00525D2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AA31BE" wp14:editId="7AD9693E">
                <wp:simplePos x="0" y="0"/>
                <wp:positionH relativeFrom="column">
                  <wp:posOffset>1330860</wp:posOffset>
                </wp:positionH>
                <wp:positionV relativeFrom="paragraph">
                  <wp:posOffset>68130</wp:posOffset>
                </wp:positionV>
                <wp:extent cx="741045" cy="259080"/>
                <wp:effectExtent l="0" t="0" r="20955" b="266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5A9E" w14:textId="1FCFA66D" w:rsidR="00525D26" w:rsidRDefault="00525D26" w:rsidP="00525D26">
                            <w:pPr>
                              <w:shd w:val="clear" w:color="auto" w:fill="BDD6EE" w:themeFill="accent1" w:themeFillTint="66"/>
                            </w:pPr>
                            <w:r>
                              <w:rPr>
                                <w:sz w:val="22"/>
                              </w:rPr>
                              <w:t>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A31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8pt;margin-top:5.35pt;width:58.35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hLDwIAAB4EAAAOAAAAZHJzL2Uyb0RvYy54bWysU1Fv0zAQfkfiP1h+p0mrlq1R02l0FCGN&#10;gTT4AY7jNBaOz5zdJuXXc3a6rhrwgvCD5fOdP3/33d3qZugMOyj0GmzJp5OcM2Ul1NruSv7t6/bN&#10;NWc+CFsLA1aV/Kg8v1m/frXqXaFm0IKpFTICsb7oXcnbEFyRZV62qhN+Ak5ZcjaAnQhk4i6rUfSE&#10;3plsludvsx6wdghSeU+3d6OTrxN+0ygZPjeNV4GZkhO3kHZMexX3bL0SxQ6Fa7U80RD/wKIT2tKn&#10;Z6g7EQTbo/4NqtMSwUMTJhK6DJpGS5VyoGym+YtsHlvhVMqFxPHuLJP/f7Dy4fDoviALwzsYqIAp&#10;Ce/uQX73zMKmFXanbhGhb5Wo6eNplCzrnS9OT6PUvvARpOo/QU1FFvsACWhosIuqUJ6M0KkAx7Po&#10;aghM0uXVfJrPF5xJcs0Wy/w6FSUTxdNjhz58UNCxeCg5Uk0TuDjc+xDJiOIpJP7lweh6q41JBu6q&#10;jUF2EFT/bVqJ/4swY1lf8uVithjz/ytEntafIDodqJGN7kp+fQ4SRVTtva1TmwWhzXgmysaeZIzK&#10;jRqGoRooMMpZQX0kQRHGhqUBo0ML+JOznpq15P7HXqDizHy0VJTldD6P3Z2M+eJqRgZeeqpLj7CS&#10;oEoeOBuPm5AmIgpm4ZaK1+gk7DOTE1dqwqT3aWBil1/aKep5rNe/AAAA//8DAFBLAwQUAAYACAAA&#10;ACEAb/CH4OAAAAAJAQAADwAAAGRycy9kb3ducmV2LnhtbEyPy07DMBBF90j8gzVIbBC1m9C0DXEq&#10;hASiOygItm48TSL8CLabhr9nWMFydI/uPVNtJmvYiCH23kmYzwQwdI3XvWslvL0+XK+AxaScVsY7&#10;lPCNETb1+VmlSu1P7gXHXWoZlbhYKgldSkPJeWw6tCrO/ICOsoMPViU6Q8t1UCcqt4ZnQhTcqt7R&#10;QqcGvO+w+dwdrYTVzdP4Ebf583tTHMw6XS3Hx68g5eXFdHcLLOGU/mD41Sd1qMlp749OR2YkZGJd&#10;EEqBWAIjIM+KHNhewmK+AF5X/P8H9Q8AAAD//wMAUEsBAi0AFAAGAAgAAAAhALaDOJL+AAAA4QEA&#10;ABMAAAAAAAAAAAAAAAAAAAAAAFtDb250ZW50X1R5cGVzXS54bWxQSwECLQAUAAYACAAAACEAOP0h&#10;/9YAAACUAQAACwAAAAAAAAAAAAAAAAAvAQAAX3JlbHMvLnJlbHNQSwECLQAUAAYACAAAACEAWRqI&#10;Sw8CAAAeBAAADgAAAAAAAAAAAAAAAAAuAgAAZHJzL2Uyb0RvYy54bWxQSwECLQAUAAYACAAAACEA&#10;b/CH4OAAAAAJAQAADwAAAAAAAAAAAAAAAABpBAAAZHJzL2Rvd25yZXYueG1sUEsFBgAAAAAEAAQA&#10;8wAAAHYFAAAAAA==&#10;">
                <v:textbox>
                  <w:txbxContent>
                    <w:p w14:paraId="72E65A9E" w14:textId="1FCFA66D" w:rsidR="00525D26" w:rsidRDefault="00525D26" w:rsidP="00525D26">
                      <w:pPr>
                        <w:shd w:val="clear" w:color="auto" w:fill="BDD6EE" w:themeFill="accent1" w:themeFillTint="66"/>
                      </w:pPr>
                      <w:r>
                        <w:rPr>
                          <w:sz w:val="22"/>
                        </w:rPr>
                        <w:t>Schools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D2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3070A" wp14:editId="2024FB62">
                <wp:simplePos x="0" y="0"/>
                <wp:positionH relativeFrom="column">
                  <wp:posOffset>589815</wp:posOffset>
                </wp:positionH>
                <wp:positionV relativeFrom="paragraph">
                  <wp:posOffset>65710</wp:posOffset>
                </wp:positionV>
                <wp:extent cx="741045" cy="259080"/>
                <wp:effectExtent l="0" t="0" r="2095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8681" w14:textId="1B94E6D6" w:rsidR="00525D26" w:rsidRDefault="00525D26" w:rsidP="00733034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sz w:val="22"/>
                              </w:rPr>
                              <w:t>SLAR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070A" id="_x0000_s1027" type="#_x0000_t202" style="position:absolute;margin-left:46.45pt;margin-top:5.15pt;width:58.35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WEEgIAACUEAAAOAAAAZHJzL2Uyb0RvYy54bWysU1Fv0zAQfkfiP1h+p0mrlq1R02l0FCGN&#10;gTT4AY7jNBaOz5zdJuXXc3azrhrwgvCD5fOdP3/33d3qZugMOyj0GmzJp5OcM2Ul1NruSv7t6/bN&#10;NWc+CFsLA1aV/Kg8v1m/frXqXaFm0IKpFTICsb7oXcnbEFyRZV62qhN+Ak5ZcjaAnQhk4i6rUfSE&#10;3plsludvsx6wdghSeU+3dycnXyf8plEyfG4arwIzJSduIe2Y9iru2Xolih0K12o50hD/wKIT2tKn&#10;Z6g7EQTbo/4NqtMSwUMTJhK6DJpGS5VyoGym+YtsHlvhVMqFxPHuLJP/f7Dy4fDoviALwzsYqIAp&#10;Ce/uQX73zMKmFXanbhGhb5Wo6eNplCzrnS/Gp1FqX/gIUvWfoKYii32ABDQ02EVVKE9G6FSA41l0&#10;NQQm6fJqPs3nC84kuWaLZX6dipKJ4umxQx8+KOhYPJQcqaYJXBzufYhkRPEUEv/yYHS91cYkA3fV&#10;xiA7CKr/Nq3E/0WYsawv+XIxW5zy/ytEntafIDodqJGN7kp+fQ4SRVTtva1TmwWhzelMlI0dZYzK&#10;nTQMQzUwXY8aR1UrqI+kK8Kpb2nO6NAC/uSsp54tuf+xF6g4Mx8t1WY5nc9jkydjvriakYGXnurS&#10;I6wkqJIHzk7HTUiDEXWzcEs1bHTS95nJSJl6Mck+zk1s9ks7RT1P9/oXAAAA//8DAFBLAwQUAAYA&#10;CAAAACEA98bqnt4AAAAIAQAADwAAAGRycy9kb3ducmV2LnhtbEyPzU7DMBCE70i8g7VIXBC1k0Jo&#10;QpwKIYHoDQqCqxtvkwj/BNtNw9uznOA4O6OZb+v1bA2bMMTBOwnZQgBD13o9uE7C2+vD5QpYTMpp&#10;ZbxDCd8YYd2cntSq0v7oXnDapo5RiYuVktCnNFacx7ZHq+LCj+jI2/tgVSIZOq6DOlK5NTwXouBW&#10;DY4WejXifY/t5/ZgJayunqaPuFk+v7fF3pTp4mZ6/ApSnp/Nd7fAEs7pLwy/+IQODTHt/MHpyIyE&#10;Mi8pSXexBEZ+LsoC2E7CdZYBb2r+/4HmBwAA//8DAFBLAQItABQABgAIAAAAIQC2gziS/gAAAOEB&#10;AAATAAAAAAAAAAAAAAAAAAAAAABbQ29udGVudF9UeXBlc10ueG1sUEsBAi0AFAAGAAgAAAAhADj9&#10;If/WAAAAlAEAAAsAAAAAAAAAAAAAAAAALwEAAF9yZWxzLy5yZWxzUEsBAi0AFAAGAAgAAAAhANo7&#10;lYQSAgAAJQQAAA4AAAAAAAAAAAAAAAAALgIAAGRycy9lMm9Eb2MueG1sUEsBAi0AFAAGAAgAAAAh&#10;APfG6p7eAAAACAEAAA8AAAAAAAAAAAAAAAAAbAQAAGRycy9kb3ducmV2LnhtbFBLBQYAAAAABAAE&#10;APMAAAB3BQAAAAA=&#10;">
                <v:textbox>
                  <w:txbxContent>
                    <w:p w14:paraId="1E5C8681" w14:textId="1B94E6D6" w:rsidR="00525D26" w:rsidRDefault="00525D26" w:rsidP="00733034">
                      <w:pPr>
                        <w:shd w:val="clear" w:color="auto" w:fill="E2EFD9" w:themeFill="accent6" w:themeFillTint="33"/>
                      </w:pPr>
                      <w:r>
                        <w:rPr>
                          <w:sz w:val="22"/>
                        </w:rPr>
                        <w:t>SLAR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FABBC" w14:textId="42F84F33" w:rsidR="00525D26" w:rsidRDefault="00525D26" w:rsidP="007245B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4552C62" w14:textId="09605652" w:rsidR="00525D26" w:rsidRPr="00733034" w:rsidRDefault="00525D26" w:rsidP="007245B0">
      <w:pPr>
        <w:rPr>
          <w:szCs w:val="24"/>
        </w:rPr>
      </w:pPr>
    </w:p>
    <w:p w14:paraId="559FEEDF" w14:textId="53D3B11A" w:rsidR="00C01018" w:rsidRPr="00733034" w:rsidRDefault="00C01018" w:rsidP="009777DB">
      <w:pPr>
        <w:pStyle w:val="ListParagraph"/>
        <w:numPr>
          <w:ilvl w:val="0"/>
          <w:numId w:val="1"/>
        </w:numPr>
        <w:rPr>
          <w:b/>
          <w:bCs/>
          <w:color w:val="867537"/>
          <w:szCs w:val="24"/>
        </w:rPr>
      </w:pPr>
      <w:r w:rsidRPr="00733034">
        <w:rPr>
          <w:b/>
          <w:bCs/>
          <w:color w:val="867537"/>
          <w:szCs w:val="24"/>
        </w:rPr>
        <w:t xml:space="preserve">Further </w:t>
      </w:r>
      <w:r w:rsidR="004E75A3">
        <w:rPr>
          <w:b/>
          <w:bCs/>
          <w:color w:val="867537"/>
          <w:szCs w:val="24"/>
        </w:rPr>
        <w:t>S</w:t>
      </w:r>
      <w:r w:rsidRPr="00733034">
        <w:rPr>
          <w:b/>
          <w:bCs/>
          <w:color w:val="867537"/>
          <w:szCs w:val="24"/>
        </w:rPr>
        <w:t xml:space="preserve">upport </w:t>
      </w:r>
    </w:p>
    <w:p w14:paraId="0D6ACF61" w14:textId="77777777" w:rsidR="00C76785" w:rsidRPr="00733034" w:rsidRDefault="00C76785" w:rsidP="00C76785">
      <w:pPr>
        <w:pStyle w:val="ListParagraph"/>
        <w:rPr>
          <w:szCs w:val="24"/>
        </w:rPr>
      </w:pPr>
    </w:p>
    <w:p w14:paraId="3DFDF13C" w14:textId="172AE403" w:rsidR="00C76785" w:rsidRPr="00733034" w:rsidRDefault="00C76785" w:rsidP="00C76785">
      <w:pPr>
        <w:pStyle w:val="ListParagraph"/>
        <w:numPr>
          <w:ilvl w:val="0"/>
          <w:numId w:val="2"/>
        </w:numPr>
        <w:rPr>
          <w:szCs w:val="24"/>
        </w:rPr>
      </w:pPr>
      <w:r w:rsidRPr="00733034">
        <w:rPr>
          <w:szCs w:val="24"/>
        </w:rPr>
        <w:t xml:space="preserve">CPD sessions </w:t>
      </w:r>
      <w:r w:rsidR="00D7720E" w:rsidRPr="00733034">
        <w:rPr>
          <w:szCs w:val="24"/>
        </w:rPr>
        <w:t>will be delivered by the Partnership and Project Manager</w:t>
      </w:r>
      <w:r w:rsidRPr="00733034">
        <w:rPr>
          <w:szCs w:val="24"/>
        </w:rPr>
        <w:t xml:space="preserve"> (SLAR) on good practice when conducting a QEV, writing the report and presenting the actions. </w:t>
      </w:r>
      <w:r w:rsidR="00733034">
        <w:rPr>
          <w:szCs w:val="24"/>
        </w:rPr>
        <w:t xml:space="preserve"> </w:t>
      </w:r>
      <w:r w:rsidRPr="00733034">
        <w:rPr>
          <w:szCs w:val="24"/>
        </w:rPr>
        <w:t>Partner</w:t>
      </w:r>
      <w:r w:rsidR="007245B0" w:rsidRPr="00733034">
        <w:rPr>
          <w:szCs w:val="24"/>
        </w:rPr>
        <w:t xml:space="preserve"> staff are</w:t>
      </w:r>
      <w:r w:rsidRPr="00733034">
        <w:rPr>
          <w:szCs w:val="24"/>
        </w:rPr>
        <w:t xml:space="preserve"> also </w:t>
      </w:r>
      <w:r w:rsidR="007245B0" w:rsidRPr="00733034">
        <w:rPr>
          <w:szCs w:val="24"/>
        </w:rPr>
        <w:t xml:space="preserve">to </w:t>
      </w:r>
      <w:r w:rsidRPr="00733034">
        <w:rPr>
          <w:szCs w:val="24"/>
        </w:rPr>
        <w:t xml:space="preserve">be included in this CPD to gain their insight. </w:t>
      </w:r>
    </w:p>
    <w:p w14:paraId="22B8EF3C" w14:textId="66A0BBE6" w:rsidR="007245B0" w:rsidRPr="00733034" w:rsidRDefault="00B30E25" w:rsidP="007245B0">
      <w:pPr>
        <w:pStyle w:val="ListParagraph"/>
        <w:rPr>
          <w:szCs w:val="24"/>
        </w:rPr>
      </w:pPr>
      <w:hyperlink r:id="rId17" w:history="1">
        <w:r w:rsidR="007245B0" w:rsidRPr="00733034">
          <w:rPr>
            <w:rStyle w:val="Hyperlink"/>
            <w:b/>
            <w:bCs/>
            <w:color w:val="0070C0"/>
            <w:szCs w:val="24"/>
            <w:u w:val="none"/>
          </w:rPr>
          <w:t>For more information and to book please click here</w:t>
        </w:r>
        <w:r w:rsidR="007245B0" w:rsidRPr="00733034">
          <w:rPr>
            <w:rStyle w:val="Hyperlink"/>
            <w:color w:val="auto"/>
            <w:szCs w:val="24"/>
            <w:u w:val="none"/>
          </w:rPr>
          <w:t>.</w:t>
        </w:r>
      </w:hyperlink>
      <w:r w:rsidR="007245B0" w:rsidRPr="00733034">
        <w:rPr>
          <w:szCs w:val="24"/>
        </w:rPr>
        <w:t xml:space="preserve"> </w:t>
      </w:r>
    </w:p>
    <w:p w14:paraId="01AB812E" w14:textId="77777777" w:rsidR="00632CAC" w:rsidRPr="00733034" w:rsidRDefault="00632CAC" w:rsidP="007245B0">
      <w:pPr>
        <w:pStyle w:val="ListParagraph"/>
        <w:rPr>
          <w:szCs w:val="24"/>
        </w:rPr>
      </w:pPr>
    </w:p>
    <w:p w14:paraId="74EA920B" w14:textId="3FD13CB3" w:rsidR="00632CAC" w:rsidRPr="00733034" w:rsidRDefault="00632CAC" w:rsidP="005520A1">
      <w:pPr>
        <w:pStyle w:val="ListParagraph"/>
        <w:numPr>
          <w:ilvl w:val="0"/>
          <w:numId w:val="2"/>
        </w:numPr>
        <w:rPr>
          <w:szCs w:val="24"/>
        </w:rPr>
      </w:pPr>
      <w:r w:rsidRPr="00733034">
        <w:rPr>
          <w:szCs w:val="24"/>
        </w:rPr>
        <w:t xml:space="preserve">The Link Tutor Network Team site is a source of support and collaboration and houses the </w:t>
      </w:r>
      <w:hyperlink r:id="rId18" w:history="1">
        <w:r w:rsidRPr="00733034">
          <w:rPr>
            <w:rStyle w:val="Hyperlink"/>
            <w:b/>
            <w:bCs/>
            <w:color w:val="0070C0"/>
            <w:szCs w:val="24"/>
            <w:u w:val="none"/>
          </w:rPr>
          <w:t>Link Tutor Toolkit</w:t>
        </w:r>
        <w:r w:rsidRPr="00733034">
          <w:rPr>
            <w:rStyle w:val="Hyperlink"/>
            <w:szCs w:val="24"/>
            <w:u w:val="none"/>
          </w:rPr>
          <w:t>.</w:t>
        </w:r>
      </w:hyperlink>
    </w:p>
    <w:p w14:paraId="7202D38D" w14:textId="77777777" w:rsidR="004F3EFA" w:rsidRPr="00733034" w:rsidRDefault="004F3EFA" w:rsidP="004F3EFA">
      <w:pPr>
        <w:rPr>
          <w:szCs w:val="24"/>
        </w:rPr>
      </w:pPr>
    </w:p>
    <w:p w14:paraId="03D73746" w14:textId="77777777" w:rsidR="009F38F7" w:rsidRPr="00733034" w:rsidRDefault="009F38F7" w:rsidP="00C0170A">
      <w:pPr>
        <w:pStyle w:val="BodyText2"/>
        <w:jc w:val="left"/>
        <w:rPr>
          <w:rFonts w:ascii="Arial" w:hAnsi="Arial" w:cs="Arial"/>
          <w:b/>
          <w:bCs/>
          <w:sz w:val="24"/>
          <w:szCs w:val="24"/>
          <w:lang w:val="en-GB"/>
        </w:rPr>
      </w:pPr>
    </w:p>
    <w:sectPr w:rsidR="009F38F7" w:rsidRPr="00733034" w:rsidSect="00733034">
      <w:headerReference w:type="first" r:id="rId19"/>
      <w:footerReference w:type="first" r:id="rId20"/>
      <w:pgSz w:w="11906" w:h="16838" w:code="9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3C11" w14:textId="77777777" w:rsidR="00441F81" w:rsidRDefault="00441F81" w:rsidP="00441F81">
      <w:r>
        <w:separator/>
      </w:r>
    </w:p>
  </w:endnote>
  <w:endnote w:type="continuationSeparator" w:id="0">
    <w:p w14:paraId="15F50310" w14:textId="77777777" w:rsidR="00441F81" w:rsidRDefault="00441F81" w:rsidP="0044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513430"/>
      <w:docPartObj>
        <w:docPartGallery w:val="Page Numbers (Bottom of Page)"/>
        <w:docPartUnique/>
      </w:docPartObj>
    </w:sdtPr>
    <w:sdtEndPr>
      <w:rPr>
        <w:noProof/>
        <w:sz w:val="20"/>
        <w:szCs w:val="18"/>
      </w:rPr>
    </w:sdtEndPr>
    <w:sdtContent>
      <w:p w14:paraId="0C708B01" w14:textId="77777777" w:rsidR="00733034" w:rsidRPr="00733034" w:rsidRDefault="00733034" w:rsidP="00733034">
        <w:pPr>
          <w:pStyle w:val="Footer"/>
          <w:jc w:val="right"/>
          <w:rPr>
            <w:sz w:val="20"/>
            <w:szCs w:val="18"/>
          </w:rPr>
        </w:pPr>
        <w:r w:rsidRPr="00733034">
          <w:rPr>
            <w:sz w:val="20"/>
            <w:szCs w:val="18"/>
          </w:rPr>
          <w:fldChar w:fldCharType="begin"/>
        </w:r>
        <w:r w:rsidRPr="00733034">
          <w:rPr>
            <w:sz w:val="20"/>
            <w:szCs w:val="18"/>
          </w:rPr>
          <w:instrText xml:space="preserve"> PAGE   \* MERGEFORMAT </w:instrText>
        </w:r>
        <w:r w:rsidRPr="00733034">
          <w:rPr>
            <w:sz w:val="20"/>
            <w:szCs w:val="18"/>
          </w:rPr>
          <w:fldChar w:fldCharType="separate"/>
        </w:r>
        <w:r>
          <w:rPr>
            <w:sz w:val="20"/>
            <w:szCs w:val="18"/>
          </w:rPr>
          <w:t>1</w:t>
        </w:r>
        <w:r w:rsidRPr="00733034">
          <w:rPr>
            <w:noProof/>
            <w:sz w:val="20"/>
            <w:szCs w:val="18"/>
          </w:rPr>
          <w:fldChar w:fldCharType="end"/>
        </w:r>
      </w:p>
    </w:sdtContent>
  </w:sdt>
  <w:p w14:paraId="549150D2" w14:textId="77777777" w:rsidR="00733034" w:rsidRPr="00733034" w:rsidRDefault="00733034" w:rsidP="00733034">
    <w:pPr>
      <w:pStyle w:val="Footer"/>
      <w:jc w:val="right"/>
      <w:rPr>
        <w:sz w:val="18"/>
        <w:szCs w:val="16"/>
      </w:rPr>
    </w:pPr>
    <w:r>
      <w:rPr>
        <w:sz w:val="18"/>
        <w:szCs w:val="16"/>
      </w:rPr>
      <w:t>Quality Framework Chapter D1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341850"/>
      <w:docPartObj>
        <w:docPartGallery w:val="Page Numbers (Bottom of Page)"/>
        <w:docPartUnique/>
      </w:docPartObj>
    </w:sdtPr>
    <w:sdtEndPr>
      <w:rPr>
        <w:noProof/>
        <w:sz w:val="20"/>
        <w:szCs w:val="18"/>
      </w:rPr>
    </w:sdtEndPr>
    <w:sdtContent>
      <w:p w14:paraId="6008515D" w14:textId="77777777" w:rsidR="00733034" w:rsidRPr="00733034" w:rsidRDefault="00733034">
        <w:pPr>
          <w:pStyle w:val="Footer"/>
          <w:jc w:val="right"/>
          <w:rPr>
            <w:sz w:val="20"/>
            <w:szCs w:val="18"/>
          </w:rPr>
        </w:pPr>
        <w:r w:rsidRPr="00733034">
          <w:rPr>
            <w:sz w:val="20"/>
            <w:szCs w:val="18"/>
          </w:rPr>
          <w:fldChar w:fldCharType="begin"/>
        </w:r>
        <w:r w:rsidRPr="00733034">
          <w:rPr>
            <w:sz w:val="20"/>
            <w:szCs w:val="18"/>
          </w:rPr>
          <w:instrText xml:space="preserve"> PAGE   \* MERGEFORMAT </w:instrText>
        </w:r>
        <w:r w:rsidRPr="00733034">
          <w:rPr>
            <w:sz w:val="20"/>
            <w:szCs w:val="18"/>
          </w:rPr>
          <w:fldChar w:fldCharType="separate"/>
        </w:r>
        <w:r w:rsidRPr="00733034">
          <w:rPr>
            <w:noProof/>
            <w:sz w:val="20"/>
            <w:szCs w:val="18"/>
          </w:rPr>
          <w:t>2</w:t>
        </w:r>
        <w:r w:rsidRPr="00733034">
          <w:rPr>
            <w:noProof/>
            <w:sz w:val="20"/>
            <w:szCs w:val="18"/>
          </w:rPr>
          <w:fldChar w:fldCharType="end"/>
        </w:r>
      </w:p>
    </w:sdtContent>
  </w:sdt>
  <w:p w14:paraId="3A263C52" w14:textId="0C4C8FE6" w:rsidR="00733034" w:rsidRPr="00733034" w:rsidRDefault="00733034" w:rsidP="00733034">
    <w:pPr>
      <w:pStyle w:val="Footer"/>
      <w:jc w:val="right"/>
      <w:rPr>
        <w:sz w:val="18"/>
        <w:szCs w:val="16"/>
      </w:rPr>
    </w:pPr>
    <w:r>
      <w:rPr>
        <w:sz w:val="18"/>
        <w:szCs w:val="16"/>
      </w:rPr>
      <w:t>Quality Framework Chapter 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18F7" w14:textId="77777777" w:rsidR="00441F81" w:rsidRDefault="00441F81" w:rsidP="00441F81">
      <w:r>
        <w:separator/>
      </w:r>
    </w:p>
  </w:footnote>
  <w:footnote w:type="continuationSeparator" w:id="0">
    <w:p w14:paraId="16D5CBA3" w14:textId="77777777" w:rsidR="00441F81" w:rsidRDefault="00441F81" w:rsidP="0044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6874" w14:textId="30CBD195" w:rsidR="00632DF0" w:rsidRDefault="00632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E9A"/>
    <w:multiLevelType w:val="hybridMultilevel"/>
    <w:tmpl w:val="C3E82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5BD"/>
    <w:multiLevelType w:val="hybridMultilevel"/>
    <w:tmpl w:val="4728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45BE"/>
    <w:multiLevelType w:val="hybridMultilevel"/>
    <w:tmpl w:val="9B209E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010"/>
    <w:multiLevelType w:val="hybridMultilevel"/>
    <w:tmpl w:val="5CC675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2565"/>
    <w:multiLevelType w:val="multilevel"/>
    <w:tmpl w:val="E4680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9A72EE9"/>
    <w:multiLevelType w:val="hybridMultilevel"/>
    <w:tmpl w:val="46441B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4729"/>
    <w:multiLevelType w:val="hybridMultilevel"/>
    <w:tmpl w:val="242ACC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21440"/>
    <w:multiLevelType w:val="hybridMultilevel"/>
    <w:tmpl w:val="0ABADC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72F3"/>
    <w:multiLevelType w:val="hybridMultilevel"/>
    <w:tmpl w:val="4FF4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A54F0"/>
    <w:multiLevelType w:val="hybridMultilevel"/>
    <w:tmpl w:val="836E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D7369"/>
    <w:multiLevelType w:val="hybridMultilevel"/>
    <w:tmpl w:val="7B12F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A1A1D"/>
    <w:multiLevelType w:val="hybridMultilevel"/>
    <w:tmpl w:val="8BDE2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3262">
    <w:abstractNumId w:val="4"/>
  </w:num>
  <w:num w:numId="2" w16cid:durableId="1597598298">
    <w:abstractNumId w:val="6"/>
  </w:num>
  <w:num w:numId="3" w16cid:durableId="1842767940">
    <w:abstractNumId w:val="8"/>
  </w:num>
  <w:num w:numId="4" w16cid:durableId="987784975">
    <w:abstractNumId w:val="2"/>
  </w:num>
  <w:num w:numId="5" w16cid:durableId="1738240324">
    <w:abstractNumId w:val="3"/>
  </w:num>
  <w:num w:numId="6" w16cid:durableId="1124428158">
    <w:abstractNumId w:val="11"/>
  </w:num>
  <w:num w:numId="7" w16cid:durableId="1634679412">
    <w:abstractNumId w:val="9"/>
  </w:num>
  <w:num w:numId="8" w16cid:durableId="1330448117">
    <w:abstractNumId w:val="0"/>
  </w:num>
  <w:num w:numId="9" w16cid:durableId="1434978163">
    <w:abstractNumId w:val="10"/>
  </w:num>
  <w:num w:numId="10" w16cid:durableId="2038576978">
    <w:abstractNumId w:val="1"/>
  </w:num>
  <w:num w:numId="11" w16cid:durableId="433675673">
    <w:abstractNumId w:val="7"/>
  </w:num>
  <w:num w:numId="12" w16cid:durableId="1646395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81"/>
    <w:rsid w:val="00003EF6"/>
    <w:rsid w:val="00017BBC"/>
    <w:rsid w:val="000244EE"/>
    <w:rsid w:val="00036445"/>
    <w:rsid w:val="000556D6"/>
    <w:rsid w:val="0008482C"/>
    <w:rsid w:val="000972E7"/>
    <w:rsid w:val="001151B7"/>
    <w:rsid w:val="00116C2B"/>
    <w:rsid w:val="00125817"/>
    <w:rsid w:val="00273088"/>
    <w:rsid w:val="002E2246"/>
    <w:rsid w:val="003B1171"/>
    <w:rsid w:val="00441F81"/>
    <w:rsid w:val="00474984"/>
    <w:rsid w:val="00482717"/>
    <w:rsid w:val="004A224E"/>
    <w:rsid w:val="004E75A3"/>
    <w:rsid w:val="004F3EFA"/>
    <w:rsid w:val="00520D0B"/>
    <w:rsid w:val="00525D26"/>
    <w:rsid w:val="005520A1"/>
    <w:rsid w:val="00590F0B"/>
    <w:rsid w:val="005A6B4B"/>
    <w:rsid w:val="005D5D5D"/>
    <w:rsid w:val="00632CAC"/>
    <w:rsid w:val="00632DF0"/>
    <w:rsid w:val="00686AA0"/>
    <w:rsid w:val="00690414"/>
    <w:rsid w:val="006921F9"/>
    <w:rsid w:val="00697F09"/>
    <w:rsid w:val="006A3C8E"/>
    <w:rsid w:val="006B4A37"/>
    <w:rsid w:val="00722829"/>
    <w:rsid w:val="007245B0"/>
    <w:rsid w:val="00733034"/>
    <w:rsid w:val="00785E80"/>
    <w:rsid w:val="00810E34"/>
    <w:rsid w:val="00836170"/>
    <w:rsid w:val="0084097B"/>
    <w:rsid w:val="008577A3"/>
    <w:rsid w:val="00896E40"/>
    <w:rsid w:val="008A64AD"/>
    <w:rsid w:val="009203D5"/>
    <w:rsid w:val="009220BA"/>
    <w:rsid w:val="009777DB"/>
    <w:rsid w:val="0099309D"/>
    <w:rsid w:val="009F38F7"/>
    <w:rsid w:val="00AA7B88"/>
    <w:rsid w:val="00B04849"/>
    <w:rsid w:val="00B25577"/>
    <w:rsid w:val="00B2639A"/>
    <w:rsid w:val="00B276B8"/>
    <w:rsid w:val="00B30E25"/>
    <w:rsid w:val="00B71E0E"/>
    <w:rsid w:val="00BB6C5B"/>
    <w:rsid w:val="00C01018"/>
    <w:rsid w:val="00C0170A"/>
    <w:rsid w:val="00C70EED"/>
    <w:rsid w:val="00C76785"/>
    <w:rsid w:val="00CA136C"/>
    <w:rsid w:val="00CA5510"/>
    <w:rsid w:val="00CB01B5"/>
    <w:rsid w:val="00CE291A"/>
    <w:rsid w:val="00D12CB5"/>
    <w:rsid w:val="00D7720E"/>
    <w:rsid w:val="00DD1F73"/>
    <w:rsid w:val="00DF34C4"/>
    <w:rsid w:val="00E00226"/>
    <w:rsid w:val="00E34DA8"/>
    <w:rsid w:val="00E37BEF"/>
    <w:rsid w:val="00E73317"/>
    <w:rsid w:val="00EA268B"/>
    <w:rsid w:val="00ED616E"/>
    <w:rsid w:val="00F3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023CB2"/>
  <w15:chartTrackingRefBased/>
  <w15:docId w15:val="{457F6E60-E88C-4511-B352-78D222BA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F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8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1F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81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85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E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E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A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244EE"/>
    <w:pPr>
      <w:jc w:val="center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244EE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es.ac.uk/sections/about/public_information/quality_framework.cf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akelet.com/i/invite?code=9ijcwys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https://blogs.tees.ac.uk/lteonline/slar-cpd-offer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teams.microsoft.com/l/team/19%3A4bwBTNAdJvCLO-p1gQKV9qFhXfbym4ZvomXAzYd5XnE1%40thread.tacv2/conversations?groupId=d9d722cb-c3f2-4e0c-bc1b-4ffc44e24406&amp;tenantId=43d2115b-a55e-46b6-9df7-b03388ecfc6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veteesac.sharepoint.com/:b:/r/sites/TM_LinkTutorNetwork/Shared%20Documents/General/Link%20Tutor%20Guidance%20Document%202023Approved%20April%202023_update%201%20042024.pdf?csf=1&amp;web=1&amp;e=5PHfG8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Gemma</dc:creator>
  <cp:keywords/>
  <dc:description/>
  <cp:lastModifiedBy>Turner, Janice</cp:lastModifiedBy>
  <cp:revision>7</cp:revision>
  <dcterms:created xsi:type="dcterms:W3CDTF">2024-09-17T10:22:00Z</dcterms:created>
  <dcterms:modified xsi:type="dcterms:W3CDTF">2024-09-17T11:29:00Z</dcterms:modified>
</cp:coreProperties>
</file>